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HB.2020.19 vom 6. August 2020</w:t>
      </w:r>
    </w:p>
    <w:p>
      <w:r>
        <w:t>BS Appellationsgericht, 2020-08-06, DE</w:t>
      </w:r>
    </w:p>
    <w:p>
      <w:r>
        <w:rPr>
          <w:b/>
        </w:rPr>
        <w:t xml:space="preserve">Quelle: </w:t>
      </w:r>
      <w:r>
        <w:t>https://mcp.opencaselaw.ch/entscheid/bs_appellationsgericht_HB.2020.19</w:t>
      </w:r>
    </w:p>
    <w:p>
      <w:r>
        <w:t>FR: BS_APPELLATIONSGERICHT HB.2020.19 du 6 août 2020</w:t>
      </w:r>
    </w:p>
    <w:p>
      <w:r>
        <w:t>IT: BS_APPELLATIONSGERICHT HB.2020.19 del 6 agosto 2020</w:t>
      </w:r>
    </w:p>
    <w:p>
      <w:pPr>
        <w:pStyle w:val="Heading2"/>
      </w:pPr>
      <w:r>
        <w:t>Erwägungen</w:t>
      </w:r>
    </w:p>
    <w:p>
      <w:r>
        <w:rPr>
          <w:b/>
        </w:rPr>
        <w:t>E. 1</w:t>
      </w:r>
    </w:p>
    <w:p>
      <w:r>
        <w:t>1.1Die verhaftete Person kann Entscheide betreffend die Anordnung und Verlängerung von Untersuchungs- oder Sicherheitshaft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1.2Gemäss der Eingabe des Beschwerdeführers vom 31. Juli 2020 richtete sich seine Eingabe vom 15. Juli 2020 nicht gegen die Verlängerung der Untersuchungshaft, sondern gegen die Begründung der entsprechenden Verfügung des Zwangsmassnahmengerichts. Die Erhebung von Rechtsmitteln setzt eine Beschwer, ein rechtlich geschütztes Interesse an der Aufhebung oder Änderung des Entscheids voraus (Art. 382 Abs. 1 StPO). Die Beschwer ergibt sich allein aus dem Dispositiv des Entscheids, nicht aus dessen Begründung. Eine für den Beschwerdeführer seiner Ansicht nach nachteilige Motivierung (z.B. in Form einer ihm nicht passenden Formulierung einer Erwägung), die im Dispositiv keinen Niederschlag findet, begründet demgemäss keine Beschwer im Sinne von Art. 382 Abs. 1 StPO (Guidon, Die Beschwerde gemäss Schweizerischer Strafprozessordnung, Zürich/St. Gallen 2011, N 246;Schmid, Strafprozessrecht, 4. Auflage, Zürich/Basel/Genf 2004, N 975).</w:t>
      </w:r>
    </w:p>
    <w:p>
      <w:r>
        <w:t>1.3Auf die Beschwerde ist daher nicht einzutreten. Umständehalber wird auf die Erhebung von Verfahrenskosten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