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HB.2020.18 vom 7. Juli 2020</w:t>
      </w:r>
    </w:p>
    <w:p>
      <w:r>
        <w:t>BS Appellationsgericht, 2020-07-07, DE</w:t>
      </w:r>
    </w:p>
    <w:p>
      <w:r>
        <w:rPr>
          <w:b/>
        </w:rPr>
        <w:t xml:space="preserve">Quelle: </w:t>
      </w:r>
      <w:r>
        <w:t>https://mcp.opencaselaw.ch/entscheid/bs_appellationsgericht_HB.2020.18</w:t>
      </w:r>
    </w:p>
    <w:p>
      <w:r>
        <w:t>FR: BS_APPELLATIONSGERICHT HB.2020.18 du 7 juillet 2020</w:t>
      </w:r>
    </w:p>
    <w:p>
      <w:r>
        <w:t>IT: BS_APPELLATIONSGERICHT HB.2020.18 del 7 luglio 2020</w:t>
      </w:r>
    </w:p>
    <w:p>
      <w:pPr>
        <w:pStyle w:val="Heading2"/>
      </w:pPr>
      <w:r>
        <w:t>Erwägungen</w:t>
      </w:r>
    </w:p>
    <w:p>
      <w:r>
        <w:rPr>
          <w:b/>
        </w:rPr>
        <w:t>E. 1</w:t>
      </w:r>
    </w:p>
    <w:p>
      <w:r>
        <w:t>Ziff. 1 des Gerichtsorganisationsgesetzes [GOG, SG 154.100]), welches gemäss Art. 393 Abs. 2 StPO mit freier Kognition urteilt.</w:t>
      </w:r>
    </w:p>
    <w:p>
      <w:r>
        <w:t>1.3Das Rechtsmittel ist nach Art. 396 Abs. 1 StPO innert 10 Tagen nach Eröffnung des Entscheids schriftlich und begründet bei der Beschwerdeinstanz einzureichen. Der amtlich verteidigte Beschwerdeführer hat seine Beschwerde persönlich verfasst. Praxisgemäss sind an die Begründung der Eingaben juristischer Laien keine allzu hohen Anforderungen zu stellen (vgl. AGE HB.2019.16 vom 27. März 2019, BES.2018.79 vom 4. Juni 2018 E. 1 mit Hinweisen). Auch wenn die als Beschwerde zu qualifizierende Eingabe teilweise schwer verständlich ist, legt der Beschwerdeführer genügend klar dar, dass er mit seiner Inhaftierung nicht einverstanden ist. Insbesondere bestreitet er den dringenden Tatverdacht und die Verhältnismässigkeit der Haft. Insgesamt genügt seine Eingabe den Anforderungen an eine Laienbeschwerde. Auf die frist- und formgerecht eingereichte Beschwerde ist somit entgegen dem Antrag der Staatsanwaltschaft grundsätzlich einzutreten (siehe aber Ziff. 1.4). Die Kognition des angerufenen Gerichts ist nach Art. 393 Abs. 2 StPO frei.</w:t>
      </w:r>
    </w:p>
    <w:p>
      <w:r>
        <w:t>1.4Der Beschwerdeführer verlangt mit seiner Beschwerde auch die Erstattung eines zweiten psychiatrischen Gutachtens. Das Zwangsmassnahmengericht hat sich lediglich zu den Voraussetzungen für die Anordnung von Sicherheitshaft geäussert. Das psychiatrische Gutachten vom 15. Juni 2020 bildet demnach nicht Gegenstand der angefochtenen Verfügung, weshalb auf den diesbezüglichen Antrag des Beschwerdeführers nicht eingetreten werden kann.</w:t>
      </w:r>
    </w:p>
    <w:p>
      <w:r>
        <w:t>1.5Der Beschwerdeführer möchte gerne in einer mündlichen Verhandlung seine persönliche Sicht der Dinge äussern können, da er sich durch seinen amtlichen Verteidiger nicht angemessen vertreten fühlt. Im Haftbeschwerdeverfahren besteht allerdings kein Anspruch auf persönliche Anhörung (Schmid/Jositsch, StPO Praxiskommentar, 3. Auflage, Zürich 2018, Art. 222 N 6). Eine mündliche Verhandlung ist nur ausnahmsweise dann durchzuführen, wenn zu erwarten ist, dass durch eine Befragung neue Erkenntnisse zu gewinnen sind (Keller, in: Donatsch/Hansjakob/Lieber [Hrsg.], Kommentar zur StPO, 2. Auflage, Zürich 2014, Art. 397 N 1;Schmid/Jositsch, a.a.O., Art. 397 N 1). Dies ist vorliegend nicht der Fall, ergeben die Akten doch eine genügende Grundlage, um die sich im vorliegenden Verfahren, in dem es um die Rechtmässigkeit der Anordnung von Sicherheitshaft geht, stellenden Fragen zu beantworten. Es ist in diesem Zusammenhang auch darauf hinzuweisen, dass die Beschwerdeinstanz dem Sachgericht nicht mit einem eigenen Beweisverfahren vorzugreifen hat (vgl. dazu unten Ziff. 3.2).</w:t>
      </w:r>
    </w:p>
    <w:p>
      <w:r>
        <w:rPr>
          <w:b/>
        </w:rPr>
        <w:t>E. 2</w:t>
      </w:r>
    </w:p>
    <w:p>
      <w:r>
        <w:t>2.1Der Beschwerdeführer möchte aus der Sicherheitshaft entlassen werden. Er ist der Meinung, die Annahme der Vorinstanz, wonach mit dem Vorliegen der Anklageschrift der dringende Tatverdacht vermutet werde, sei widerrechtlich. Laut Gesetz könne ohne rechtskräftiges Urteil keine Haft angeordnet werden. Es gebe bei keiner ihm vorgehaltenen Tat irgendeine Evidenz, dass er sie begangen habe. All diese Lügengeschichten seien einfach lachhaft. Die Anordnung von 12 Wochen Sicherheitshaft sei entgegen den Ausführungen der Vorinstanz nicht verhältnismässig, sondern stelle eine schwere Freiheitsberaubung dar.</w:t>
      </w:r>
    </w:p>
    <w:p>
      <w:r>
        <w:t>2.2Demgegenüber führt die Staatsanwaltschaft in ihrer Vernehmlassung aus, im vorliegenden Fall ergebe sich der dringende Tatverdacht nicht nur aus einer Vermutung. Vielmehr lägen konkrete, objektivierbare Anhaltspunkte vor, welche dafür sprechen würden, dass der Beschwerdeführer die ihm in der Anklageschrift vorgeworfenen Taten begangen habe. In Anbetracht dessen, dass keine milderen Ersatzmassnahmen vorliegen würden, mit einer längeren Freiheitsstrafe gerechnet werden müsse und sich der Beschwerdeführer seit dem 27. April 2020 in Haft befinde, sei die Verhältnismässigkeit der Haft gewahrt.</w:t>
      </w:r>
    </w:p>
    <w:p>
      <w:r>
        <w:rPr>
          <w:b/>
        </w:rPr>
        <w:t>E. 3</w:t>
      </w:r>
    </w:p>
    <w:p>
      <w:r>
        <w:t>3.1Die Anordnung oder Verlängerung von Haft in Form von Untersuchungs- oder Sicherheitshaft ist entgegen den Ausführungen des Beschwerdeführers vor Vorliegen eines rechtskräftigen Urteils zulässig, sobald die Voraussetzungen von Art. 221 Abs. 1 StPO gegeben sind. Danach genügt es, wenn die beschuldigte Person eines Verbrechens oder Vergehensdringend verdächtigist und überdies Flucht-, Kollusions- oder Wiederholungsgefahr besteht. Die Haft muss ferner verhältnismässig sein. Sie ist unter anderem aufzuheben, sobald Ersatzmassnahmen zum gleichen Ziel führen (Art. 197 Abs. 1 lit. c, Art. 212 Abs. 2 lit. c StPO) und darf nicht länger dauern als die zu erwartende Freiheitsstrafe (Art. 212 Abs. 3 StPO).</w:t>
      </w:r>
    </w:p>
    <w:p>
      <w:r>
        <w:t>3.2Für die Bejahung einesdringenden Tatverdachtsgemäss Art. 221 Abs. 1 StPO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Im Haftprüfungsverfahren genügt der Nachweis von konkreten Verdachtsmomenten, wonach das inkriminierte Verhalten mit erheblicher Wahrscheinlichkeit die fraglichen Tatbestandsmerkmale erfüllen könnte. Denn das Beschleunigungsgebot in Haftsachen lässt nur wenig Raum für Beweismassnahmen. Vorbehalten bleibt allenfalls die Abnahme eines liquiden Alibibeweises (zum Ganzen: BGE 143 IV 316 E. 3.1 S. 318 mit Hinweisen). Der dringende Tatverdacht muss sich im Verlauf des Strafverfahrens grundsätzlich verdichten (bzw. ausreichend hoch verbleiben). Zu Beginn der Strafuntersuchung sind die Anforderungen an den dringenden Tatverdacht geringer als in späteren Prozessstadien. Im Laufe des Strafverfahrens ist in der Regel ein zunehmend strenger Massstab an die Erheblichkeit und Konkretheit des Tatverdachts zu legen (statt vieler BGE 143 IV 316 E. 3.2 S. 318 f.). Beim Vorliegen der Anklageschrift gilt nach der Rechtsprechung die Voraussetzung des dringenden Tatverdachts vermutungsweise als erfüllt (vgl. BGer 1B_283/2016 vom 26. August 2016 E. 3 mit weiteren Hinweisen), weil damit in aller Regel eine Erhärtung und Verdichtung von anfänglich vielleicht noch eher vagen Verdachtsmomenten verbunden ist. Der Verweis der Vorinstanz auf die Anklageschrift ist deshalb nicht zu beanstanden. Die Staatsanwaltschaft führt zudem zutreffend aus, es lägen konkrete, objektivierbare Anhaltspunkte vor, welche dafür sprechen würden, dass der Beschwerdeführer die ihm in der Anklageschrift vorgeworfenen Taten begangen habe. Diese Anhaltspunkte sind durch das Appellationsgericht bereits in seinem den Beschwerdeführer betreffenden Entscheid HB.2020.14 vom 16. Juni 2020 (Erwägung 3.2) geprüft worden. Da sie seither nicht widerlegt worden sind, kann ohne weitere Ergänzungen darauf verwiesen werden.</w:t>
      </w:r>
    </w:p>
    <w:p>
      <w:r>
        <w:t>3.3Auch zur Fortsetzungsgefahr hat sich das Appellationsgericht im Entscheid vom 16. Juni 2020 eingehend geäussert (Erwägung 4). Die entsprechenden Ausführungen treffen nach wie vor zu. Ergänzend ist Folgendes festzuhalten: Das Bundesgericht hat in einem soeben erst veröffentlichten Urteil in Bezug auf die Rückfallprognose festgehalten, besonders bei drohenden schweren Gewaltverbrechen sei auch dem psychischen Zustand der verdächtigen Person beziehungsweise ihrer Unberechenbarkeit oder Aggressivität Rechnung zu tragen (BGer 1B_309/2020 vom 3. Juli 2020 E. 2.1). In diesem Zusammenhang ist hinsichtlich des Beschwerdeführers auf das im Strafverfahren erstellte psychiatrische Gutachten von [...] vom 15. Juni 2020 hinzuweisen, von dem das Appellationsgericht bei seinem ersten Entscheid vom 16. Juni 2020 noch keine Kenntnis gehabt hat. Die Gutachterin bejaht das Vorliegen von Rückfallgefahr klar. Die Wahrscheinlichkeit weiterer Straftaten, ähnlich den Delikten, die aktuell zur Last gelegt würden, sei hoch. Am wahrscheinlichsten seien sicherlich Eigentums- und BtmG-Delikte, aber auch das Risiko von sexuell gewalttätigem Verhalten sei im Vergleich zur Durchschnittsbevölkerung deutlich erhöht. Die Gefahr erneuter solcher Straftaten bestehe aufgrund einer anhaltenden psychischen Störung und einer multiplen Substanzabhängigkeit. Diese Störungsbilder würden zu völlig unstrukturierten Lebensumständen führen, die ihrerseits das Risiko von Straftaten erhöhen würden (Gutachten S. 54 f., Akten S. 485 f.). Diese Beurteilung der Gutachterin stützt die negative Prognose, wie sie das Appellationsgericht bereits im Entscheid vom 16. Juni 2020 gestellt hat, und führt dazu, dass Fortsetzungsgefahr weiterhin zu bejahen ist.</w:t>
      </w:r>
    </w:p>
    <w:p>
      <w:r>
        <w:rPr>
          <w:b/>
        </w:rPr>
        <w:t>E. 4</w:t>
      </w:r>
    </w:p>
    <w:p>
      <w:r>
        <w:t>Der Beschwerdeführer bezeichnet die Anordnung von 12 Wochen Sicherheitshaft als schwere Freiheitsberaubung. Damit rügt er sinngemäss, sie stelle sich als unverhältnismässig dar. Dies trifft nicht zu: Das Zwangsmassnahmengericht darf die Sicherheitshaft nur solange erstrecken, als ihre Dauer nicht in grosse Nähe der konkret zu erwartenden Strafe rückt (Art. 212 Abs. 3 StPO). Der Beschwerdeführer wird bis zum Ablauf der durch das Zwangsmassnahmengericht bis zum 29. September 2020 bewilligten Haft rund sechs Monate inhaftiert gewesen sein. Die Anklageschrift ist erstellt und das psychiatrische Gutachten liegt vor. Es ist deshalb davon auszugehen, dass das Strafverfahren zügig weitergeführt werden kann. Die Staatsanwaltschaft beantragt die Beurteilung durch ein Dreiergericht. Dies bedeutet, dass eine Strafe von 12 Monaten und mehr zur Diskussion stehen wird (vgl. § 79 GOG). Damit ist die Dauer der angeordneten Sicherheitshaft noch weit entfernt von der konkret zu erwartenden Strafe. Dass im Falle des Beschwerdeführers Ersatzmassnahmen nicht in Frage kommen, hat das Appellationsgericht bereits in seinem Entscheid vom 16. Juni 2020 dargelegt. Die betreffenden Erwägungen gelten nach wie vor.</w:t>
      </w:r>
    </w:p>
    <w:p>
      <w:r>
        <w:rPr>
          <w:b/>
        </w:rPr>
        <w:t>E. 5</w:t>
      </w:r>
    </w:p>
    <w:p>
      <w:r>
        <w:t>Aus dem Gesagten ergibt sich, dass die Beschwerde abzuweisen ist, soweit auf sie eingetreten werden kann. Bei diesem Ausgang des Verfahrens hat der Beschwerdeführer dessen Kosten mit einer Gebühr von CHF 500. zu tragen (Art. 428 Abs. 1 StPO in Verbindung mit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