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HB.2020.1 vom 28. Juni 2019</w:t>
      </w:r>
    </w:p>
    <w:p>
      <w:r>
        <w:t>BS Appellationsgericht, 2019-06-28, DE</w:t>
      </w:r>
    </w:p>
    <w:p>
      <w:r>
        <w:rPr>
          <w:b/>
        </w:rPr>
        <w:t xml:space="preserve">Quelle: </w:t>
      </w:r>
      <w:r>
        <w:t>https://mcp.opencaselaw.ch/entscheid/bs_appellationsgericht_HB.2020.1</w:t>
      </w:r>
    </w:p>
    <w:p>
      <w:r>
        <w:t>FR: BS_APPELLATIONSGERICHT HB.2020.1 du 28 juin 2019</w:t>
      </w:r>
    </w:p>
    <w:p>
      <w:r>
        <w:t>IT: BS_APPELLATIONSGERICHT HB.2020.1 del 28 giugno 2019</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 Die vorliegende Beschwerde ist form- und fristgerecht eingereicht worden, sodass darauf einzutreten ist.</w:t>
      </w:r>
    </w:p>
    <w:p>
      <w:r>
        <w:rPr>
          <w:b/>
        </w:rPr>
        <w:t>E. 2</w:t>
      </w:r>
    </w:p>
    <w:p>
      <w:r>
        <w:t>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rPr>
          <w:b/>
        </w:rPr>
        <w:t>E. 3</w:t>
      </w:r>
    </w:p>
    <w:p>
      <w:r>
        <w:t>Der Beschwerdeführer rügt eine Verletzung des rechtlichen Gehörs.</w:t>
      </w:r>
    </w:p>
    <w:p>
      <w:r>
        <w:t>3.1Er macht geltend, die Vorinstanz habe seinen Fall nicht erneut von Grund auf geprüft und keine seit dem Entscheid des Appellationsgericht vom 3. Dezember 2019 eingetretenen Entwicklungen berücksichtigt. So sei bezüglich des Tatverdachts auf die Erwägungen 3.2.1 bis 3.2.3 des Entscheids des Appellationsgerichts verwiesen worden (AGE HB.2019.69). In Bezug auf die besonderen Haftgründe habe die Vorinstanz die appellationgsgerichtlichen Erwägungen in ihre Verfügung hineinkopiert.</w:t>
      </w:r>
    </w:p>
    <w:p>
      <w:r>
        <w:t>3.2Betreffend die Prüfung des dringenden Tatverdachts ist festzuhalten, dass das Zwangsmassnahmengericht nicht gehalten war, die vorgeworfenen Sachverhalte und die jeweilige Beweislage erneut in eigenen Worten zu umschreiben. Der Beschwerdeführer hat auch nicht substantiiert geltend gemacht, dass sich die Tatvorwürfe und die sich aus dem vorläufigen Beweisergebnis fliessende Würdigung neu oder anders gelagert darstellen, als dies noch im Urteil des Appellationsgerichts vom 3. Dezember 2019 der Fall war. Auch aus dem bundesgerichtlichen Urteil vom 27. Januar 2020 ergibt sich, dass sich Tatverdacht und Fluchtgefahr noch immer so präsentieren, wie im Beschwerdeentscheid vom 3. Dezember 2019 festgehalten (BGer 1B_19/2020 vom 27. Januar 2020 E. 3.2). Soweit sich die Vorinstanz nicht, wie ebenfalls gerügt, explizit mit der Ankündigung des Abschlusses der Untersuchung durch die Staatsanwaltschaft befasst hat, räumt der Beschwerdeführer selbst ein, dass die Bemessung der Haftdauer auf sieben Wochen, konkret bis zum 7. Februar 2020, darauf zurückzuführen sein dürfte, dass die Staatsanwaltschaft in Kürze Anklage erheben und gleichzeitig Sicherheitshaft beantragen wird. Daran hat sich das Zwangsmassnahmengericht orientiert, indem es die Untersuchungshaft nur bis zum 7. Februar 2020 verlängert hat. Somit ist keine Verletzung des rechtlichen Gehörs ersichtlich.</w:t>
      </w:r>
    </w:p>
    <w:p>
      <w:r>
        <w:rPr>
          <w:b/>
        </w:rPr>
        <w:t>E. 4</w:t>
      </w:r>
    </w:p>
    <w:p>
      <w:r>
        <w:t>4.1Für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HB.2018.17 vom 27. März 2018 E. 3.1). Sie haben lediglich zu prüfen, ob die Justizbehörden aufgrund der vorhandenen Anhaltspunkte das Bestehen eines dringenden Tatverdachts mit vertretbaren Gründen bejahen durften (BGer 1B_552/2011 vom 24. Oktober 2011 E. 3). Im Haftprüfungsverfahren genügt dabei der Nachweis von konkreten Verdachtsmomenten, wonach das untersuchte Verhalten mit erheblicher Wahrscheinlichkeit die fraglichen Tatbestandsmerkmale erfüllen könnte (BGE 137 IV 122 E. 3.2, 124 I 208 E. 3).</w:t>
      </w:r>
    </w:p>
    <w:p>
      <w:r>
        <w:t>4.2Dem Beschwerdeführer werden zwei haftrelevante Sachverhalte vorgeworfen:</w:t>
      </w:r>
    </w:p>
    <w:p>
      <w:r>
        <w:t>4.2.1In der Nacht vom 26. auf den 27. Mai 2018 feierten mehrere Personen mit [...] Wurzeln im vom Beschwerdeführer geführten "X____ Club" in Basel einen [...] Feiertag. In den frühen Morgenstunden kam es zu einer tätlichen Auseinandersetzung zwischen dem Beschwerdeführer und einem Gast. Dieser Auseinandersetzung schlossen sich mehrere Besucher und Bekannte des Beschwerdeführers an, wobei auf beiden Seiten Messer eingesetzt wurden. Bei der Messerstecherei wurden mehrere Personen teils lebensgefährlich verletzt. Nach den Aussagen von B____, der lebensgefährlich verletzt wurde, wurden ihm die Stichverletzungen vom Beschwerdeführer zugefügt. Diese Aussage wird durch die Angaben der Zeugin C____ gestützt. An zwei sichergestellten Küchenmessern wurden an den Klingen Blutspuren von B____ und an den Griffen DNA-Spuren des Beschwerdeführers sichergestellt (vgl. eingehend AGE HB.2019.69 E. 3.2.1, 3.2.3). Der Beschwerdeführer hat dies im bundesgerichtlichen Verfahren nicht mehr substantiiert bestritten, sondern einen Schuldspruch wegen versuchter Tötung immerhin für möglich gehalten (BGer 1B_19/2020 vom 27. Januar 2020 E. 3.1). In der Beschwerde vom 27. Dezember 2019 verweist er zwar pauschal darauf, B____ sei es gewesen, der «alle beteiligten Personen mit dem Messer angegriffen» habe (act. 2, Ziff. 3), indes ohne sich mit der Beweislage auseinanderzusetzen. Damit ist der Beschwerdeführer dringend verdächtig, sich am Raufhandel beteiligt und auf B____ eingestochen zu haben.</w:t>
      </w:r>
    </w:p>
    <w:p>
      <w:r>
        <w:t>4.2.2Ein dringender Tatverdacht im Zusammenhang mit dem zweiten Vorfall in [...]/AG wäre darüber hinaus nicht erforderlich, um  das Vorliegen eines besonderen Haftgrundes vorausgesetzt  die Aufrechterhaltung der Untersuchungshaft anzuordnen. Zusammenfassend ist indes festzuhalten, dass es am 13. Oktober 2018 kurz vor Mitternacht im [...] Club "Y____" in [...]/AG zu einem zweiten Vorfall kam. Bei einer tätlichen Auseinandersetzung zwischen zwei Gruppen wurden mehrere Schüsse abgegeben, wobei drei Personen durch Schussverletzungen lebensgefährlich verletzt wurden. D____, E____ und F____ bestätigten, dass der Beschwerdeführer entgegen seiner Aussage zur Tatzeit am Tatort war. Letzterer sah zudem eine Waffe in seiner Hand. G____ bestätigte, dass der Beschwerdeführer während der Auseinandersetzung geschossen habe, zog diese Aussage später wieder zurück, wobei er allerdings nicht erklärte, weshalb er zunächst falsch ausgesagt haben soll und wer für ihn das nicht von ihm selber stammende Widerrufsschreiben verfasst hatte. Weiter hat H____, der Onkel des Beschwerdeführers, im Verlauf der Strafuntersuchung ein Geständnis abgelegt und angegeben, allein für die Schussabgabe verantwortlich zu sein. Nichtsdestotrotz haben fünf Personen die Anwesenheit des Beschwerdeführers zur Tatzeit am Tatort bestätigt, einer hat eine Waffe in seiner Hand gesehen und einer bezeichnete ihn als Schützen (vgl. eingehend AGE HB.2019.69 E. 3.2.3). Zwar hat letzterer seine Aussagen widerrufen und die übrigen Aussagen mögen nicht völlig widerspruchsfrei sein. Die einlässliche Würdigung sämtlicher subjektiver Beweismittel obliegt angesichts der insgesamt undurchsichtigen Verhältnisse indes dem Sachgericht und muss im Haftprüfungsverfahren nicht abschliessend beurteilt werden. Was der Beschwerdeführer summarisch dagegen vorbringt, verfängt nicht (act. 2 Ziff. 6). Somit ist davon ausgehen, dass der Beschwerdeführer dringend verdächtig ist, sich an der Auseinandersetzung beteiligt und dabei geschossen zu haben.</w:t>
      </w:r>
    </w:p>
    <w:p>
      <w:r>
        <w:rPr>
          <w:b/>
        </w:rPr>
        <w:t>E. 5</w:t>
      </w:r>
    </w:p>
    <w:p>
      <w:r>
        <w:t>5.1Die Annahme von Fluchtgefahr setzt ernsthafte Anhaltspunkte dafür voraus, dass sich die beschuldigte Person durch Flucht dem Strafverfahren oder der zu erwartenden Sanktion entziehen könnte (Art. 221 Abs. 1 lit. a StPO). Im Vordergrund steht dabei eine mögliche Flucht ins Ausland; denkbar ist jedoch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(vgl. zum Ganzen: BGE 143 IV 160 E. 4.3, mit Hinweisen, BGer 1B_32/2019 vom 8. Februar 2019 E. 4.1).</w:t>
      </w:r>
    </w:p>
    <w:p>
      <w:r>
        <w:t>5.2Der Beschwerdeführer hat in Anbetracht der schwerwiegenden Vorwürfe im Falle einer Verurteilung eine mehrjährige Freiheitsstrafe zu befürchten, was einen ausgeprägten Fluchtanreiz setzt. Sodann ist bezüglich seiner persönlichen Verhältnisse festzuhalten, dass er [...] Staatsangehöriger ist. Er ist in [...] geboren und aufgewachsen und hat lediglich die letzten zehn Jahre seines Lebens in der Schweiz verbracht. Die Mehrheit seiner Verwandten, mit welchen er regen Austausch pflegt und die er auch in finanzieller Hinsicht unterstützt, lebt in [...]. In der Schweiz verfügt er über keine engen familiären Beziehungen. Er verkehrt offenbar vor allem im Kreis seiner [...] Landsleute. Der Beschwerdeführer ist kinderlos und geschieden. Über eine GmbH, deren alleiniger Geschäftsführer er war, ist per 8. Januar 2019 der Konkurs eröffnet worden. Zu berücksichtigen ist weiter, dass als Fluchtziel nicht nur die [...], wo die Mehrzahl der Familienangehörigen des Beschwerdeführers lebt und dieser mit den örtlichen Verhältnissen bestens vertraut ist, in Betracht kommt. Ebenso kämen [...] und [...] als mögliche Zielländer in Frage, hat der Beschuldigte sich in der Vergangenheit bereits dort aufgehalten. Wie in E. 5.1 hiervor dargelegt, ist die Annahme von Fluchtgefahr selbst bei einer befürchteten Reise in ein Land, das die beschuldigte Person grundsätzlich an die Schweiz ausliefern bzw. stellvertretend verfolgen könnte, nicht ausgeschlossen.</w:t>
      </w:r>
    </w:p>
    <w:p>
      <w:r>
        <w:t>Es ist unter diesen Umständen nicht ersichtlich, was den Beschwerdeführer von einer Flucht abhalten könnte, zumal ihm im Fall einer Verurteilung eine obligatorische Landesverweisung droht (Art. 66a Abs. 1 lit. a StGB). Dass er nach dem ersten Vorfall im Mai 2018 in Basel bereits nach wenigen Tagen in die Freiheit entlassen worden ist, mutet zwar erstaunlich an. Dass der Beschwerdeführer damals nicht floh, ändert jedoch nichts daran, dass zum jetzigen Zeitpunkt  und unter Berücksichtigung eines weiteren Vorwurfs wegen versuchter vorsätzlicher Tötung  Fluchtgefahr vorliegt. Gleichsam kann er nichts daraus ableiten, dass sich der ebenfalls in den Vorfall in Basel verwickelte B____ auf freiem Fuss befindet (act. 2 Ziff. 3, 1012). Schliesslich beruft er sich zu Unrecht auf das Prinzipne bis in idem, da im Haftprüfungsverfahren nicht materiell über Schuld und Unschuld befunden wird (act. 2 Ziff. 4). Unter Würdigung der erwähnten Gesichtspunkte ist das Bestehen von Fluchtgefahr als Haftgrund weiterhin zu bejahen.</w:t>
      </w:r>
    </w:p>
    <w:p>
      <w:r>
        <w:t>5.3Der Beschwerdeführer bringt vor, eine Meldepflicht und die angebotene Kautionsleistung von CHF 50'000. stellten hinreichende Ersatzmassnahmen dar.</w:t>
      </w:r>
    </w:p>
    <w:p>
      <w:r>
        <w:t>Das Bundesgericht hat in Bezug auf eine Schriftensperre erwogen, innerhalb Europas sei ein Grenzübertritt ohne Ausweispapiere leicht möglich und zur Vermeidung einer mehrjährigen Freiheitsstrafe könnte der Beschwerdeführer durchaus geneigt sein, die Kaution (in Höhe von CHF 10'000.) verfallen zu lassen (BGer 1B_19/2020 vom 27. Januar 2020 E. 3.3). Daran hat sich bis zu diesem Entscheid nichts geändert. Mit Blick auf die Schwere der Tatvorwürfe und die Höhe der drohenden Strafe erscheint auch eine Kaution in der Höhe von nunmehr CHF 50'000. noch als zu tief und deshalb nicht geeignet zur Abwendung der Fluchtgefahr. Der Beschwerdeführer hat aufgrund seiner Mittellosigkeit zudem in Aussicht gestellt, die Kaution von einem Bekannten namens I____ leisten zu lassen und hat dessen Steuererklärung für das Jahr 2018 ins Recht gelegt. Das Wertschriften- und Guthabenverzeichnis weist Vermögenswerte von CHF 1'171'710. aus, zudem ist I____ Eigentümer einer Liegenschaft mit einem Steuerwert von CHF 58'075. Dem stehen Schulden von CHF 545'465. gegenüber, was einem Vermögen von CHF 684'320. entspricht (act. 4). Auch angesichts dessen erweist sich die angebotene Kaution von CHF 50'000. als völlig ungenügend, um die Fluchtgefahr zu bannen.</w:t>
      </w:r>
    </w:p>
    <w:p>
      <w:r>
        <w:t>Ersatzmassnahmen im Sinn von Art. 237 Abs. 1 und 2 StPO sind daher vorliegend nicht geeignet, den Beschwerdeführer von einer Flucht abzuhalten.</w:t>
      </w:r>
    </w:p>
    <w:p>
      <w:r>
        <w:rPr>
          <w:b/>
        </w:rPr>
        <w:t>E. 6</w:t>
      </w:r>
    </w:p>
    <w:p>
      <w:r>
        <w:t>Dass die Anordnung der Untersuchungshaft bis zum 7. Februar 2020 in zeitlicher Hinsicht unverhältnismässig wäre, macht der Beschwerdeführer zu Recht nicht geltend. Deren Dauer von rund 15 Monaten kommt nicht in die Nähe der für den Fall einer Verurteilung zu erwartenden Strafe, und es ist auch nicht ersichtlich, dass die Untersuchung nicht mit der gebotenen Beschleunigung vorangetrieben worden wäre. Dem Haftverlängerungsgesuch vom 16. Dezember 2020 lässt sich entnehmen, dass die Staatsanwaltschaft mit Verweis auf die noch ausstehenden Arbeiten davon ausgeht, das Verfahren bis zum 7. Februar 2020 zur Anklage zu bringen (act. 4). Damit erweist sich die angeordnete Haftdauer als verhältnismässig.</w:t>
      </w:r>
    </w:p>
    <w:p>
      <w:r>
        <w:rPr>
          <w:b/>
        </w:rPr>
        <w:t>E. 7</w:t>
      </w:r>
    </w:p>
    <w:p>
      <w:r>
        <w:t>Zusammenfassend erweisen sich die Rügen des Beschwerdeführers als unbegründet und die Beschwerde ist abzuweisen. Die Kosten des Rechtsmittelverfahrens tragen die Parteien grundsätzlich nach Massgabe ihres Obsiegens oder Unterliegens (Art. 428 Abs. 1 StPO). Der Beschwerdeführer hat um unentgeltliche Rechtspflege ersucht, welche ihm gestützt auf die mit der Replik eingereichten Kontoauszüge zu gewähren ist (act. 6). Es stellt sich die Frage, inwieweit er von der Kostenauflage zu befreien ist.</w:t>
      </w:r>
    </w:p>
    <w:p>
      <w:r>
        <w:t>Der verfassungsrechtliche Anspruch auf unentgeltliche Rechtspflege gemäss Art. 29 Abs. 3 BV und Art. 6 Ziff. 3 lit. c EMRK gewährleistet jedem Betroffenen ohne Rücksicht auf seine finanzielle Situation den tatsächlichen Zugang zum Gerichtsverfahren sowie eine effektive und sachkundige Wahrung seiner Rechte (BGE 139 I 138 E. 4.2). Die genannten Bestimmungen verpflichten den Staat aber nicht, endgültig auf die Rückzahlung von Leistungen zu verzichten, die dem Empfänger der unentgeltlichen Rechtspflege gewährt worden sind (BGE 135 I 91 E. 2.4.2). Der verfassungsmässig garantierte Anspruch umfasst nicht auch das Recht, von Verfahrens- oder Vertretungskosten generell befreit zu werden (BGE 110 Ia 87 E. 4 mit Hinweisen).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indessen abgeschlossen, steht Art. 29 Abs. 3 BV einer Kostenauflage nicht entgegen.</w:t>
      </w:r>
    </w:p>
    <w:p>
      <w:r>
        <w:t>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w:t>
      </w:r>
    </w:p>
    <w:p>
      <w:r>
        <w:t>Nachdem Art. 29 Abs. 3 BV keine definitive Befreiung von den Kosten garantiert, können die Kosten des Rechtsmittelverfahrens in Anwendung von Art. 428 Abs. 1 StPO auch auferlegt werden, wenn die Voraussetzungen zur Gewährung der unentgeltlichen Rechtspflege gegeben sind (BGer 6B_847/2017 vom 7. Februar 2018 E. 5).</w:t>
      </w:r>
    </w:p>
    <w:p>
      <w:r>
        <w:t>Die Gebühr ist in Anwendung von § 21 Abs. 2 des Reglements über die Gerichtsgebühren (SG 154.810) mit CHF 500.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