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HB.2019.60 vom 4. Oktober 2019</w:t>
      </w:r>
    </w:p>
    <w:p>
      <w:r>
        <w:t>BS Appellationsgericht, 2019-10-04, DE</w:t>
      </w:r>
    </w:p>
    <w:p>
      <w:r>
        <w:rPr>
          <w:b/>
        </w:rPr>
        <w:t xml:space="preserve">Quelle: </w:t>
      </w:r>
      <w:r>
        <w:t>https://mcp.opencaselaw.ch/entscheid/bs_appellationsgericht_HB.2019.60</w:t>
      </w:r>
    </w:p>
    <w:p>
      <w:r>
        <w:t>FR: BS_APPELLATIONSGERICHT HB.2019.60 du 4 octobre 2019</w:t>
      </w:r>
    </w:p>
    <w:p>
      <w:r>
        <w:t>IT: BS_APPELLATIONSGERICHT HB.2019.60 del 4 ottobre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Der Entscheid vom 4. Oktober 2019 wurde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mittellos ist oder die Höhe der Kosten zusammen mit ihren übrigen Schulden ihre Resozialisierung beziehungsweise ihr finanzielles Weiterkommen ernsthaft gefährden kann (vgl. dazuGriesser, in: Donatsch et al. [Hrsg.], Kommentar zur Schweizerischen Strafprozessordnung, 3. Auflage, Zürich 2020, Art. 425 N 1a;Domeisen, a.a.O., Art. 425 StPO N 4; vgl. statt vieler AGE SB.2017.15 vom 27. Mai 2020 E. 2.1).</w:t>
      </w:r>
    </w:p>
    <w:p>
      <w:r>
        <w:t>2.2Mit rechtskräftig gewordenem Urteil des Appellationsgerichts SB.2020.111 vom 29. März 2022 (bestätigt in BGer 6B_1123/2022 vom 26. Januar 2023) wurde festgestellt, dass die Gesuchstellerin die Tatbestandsmerkmale des Mordes gemäss Art. 112 des Strafgesetzbuches (StGB, SR 311.0) in rechtswidriger Weise erfüllt hat, diesbezüglich aber wegen Schuldunfähigkeit nicht strafbar sei (Art. 19 Abs. 1 StGB). Indes wurde über sie in Anwendung von Art. 375 Abs. 1 StPO eine Verwahrung gemäss Art. 19 Abs. 3 und 64 Abs. 1 StGB angeordnet. Daraus erhellt, dass der Gesuchstellerin auch zukünftig die Freiheit entzogen sein wird, sodass sie neben dem unpfändbaren Pekulium (Art. 83 StGB) keinerlei Einnahmen generieren kann. Da im Verfahren SB.2020.111 zufolge Schuldunfähigkeit auch keine Kosten erhoben wurden, rechtfertigt es sich, der Gesuchstellerin  ohne auf ihre Vorbringen im Gesuch vom 23. Mai 2023 näher einzugehen  die Verfahrenskosten von CHF 500. zu erlassen.</w:t>
      </w:r>
    </w:p>
    <w:p>
      <w:r>
        <w:rPr>
          <w:b/>
        </w:rPr>
        <w:t>E. 3</w:t>
      </w:r>
    </w:p>
    <w:p>
      <w:r>
        <w:t>Das Erlassgesuch ist demgemäss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