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HB.2019.52 vom 12. August 2019</w:t>
      </w:r>
    </w:p>
    <w:p>
      <w:r>
        <w:t>BS Appellationsgericht, 2019-08-12, DE</w:t>
      </w:r>
    </w:p>
    <w:p>
      <w:r>
        <w:rPr>
          <w:b/>
        </w:rPr>
        <w:t xml:space="preserve">Quelle: </w:t>
      </w:r>
      <w:r>
        <w:t>https://mcp.opencaselaw.ch/entscheid/bs_appellationsgericht_HB.2019.52</w:t>
      </w:r>
    </w:p>
    <w:p>
      <w:r>
        <w:t>FR: BS_APPELLATIONSGERICHT HB.2019.52 du 12 août 2019</w:t>
      </w:r>
    </w:p>
    <w:p>
      <w:r>
        <w:t>IT: BS_APPELLATIONSGERICHT HB.2019.52 del 12 agosto 2019</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2. Auflage 2014, Art. 425 StPO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SB.2016.76 vom 19. Dezember 2017 E. 1.2). Damit ist zur Behandlung des vorliegenden Erlassgesuchs derjenige Einzelrichter zuständig, welcher den zur Diskussion stehenden Haftbeschwerdeentscheid erlassen hat.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a.a.O., Art. 425 StPO N 4).</w:t>
      </w:r>
    </w:p>
    <w:p>
      <w:r>
        <w:t>2.2Der Gesuchsteller wurde nur wenige Wochen nach Verbüssung einer 16-monatigen Haftstrafe mit der Deliktsserie zum Nachteil von B____, welche zu seiner erneuten Inhaftierung führte, abermals straffällig. Wie sich der Absender-Adresse des vorliegend zu beurteilenden Gesuchs entnehmen lässt, befindet sich der Gesuchsteller aktuell in [...]. Daraus folgt, dass der Gesuchsteller während gut 20 Monaten praktisch ununterbrochen inhaftiert war und damit kein reguläres Einkommen erzielen konnte. Dazu kommt, dass der einschlägig vorbestrafte A____ seinen Betäubungsmittelkonsum in der Vergangenheit offenbar durch verschiedene Diebstähle finanzierte und insofern eine wirtschaftliche Not besteht.</w:t>
      </w:r>
    </w:p>
    <w:p>
      <w:r>
        <w:t>2.3A____ muss nach dem Gesagten als mittellos bezeichnet werden. Unter diesen Umständen erscheint eine Kostenauflage im Sinne des vorstehend Ausgeführten als unbillig, zumal nicht davon auszugehen ist, dass sich an der finanziellen Situation des eine IV-Rente beziehenden Gesuchstellers innert absehbarer Zeit etwas ändern dürfte. Auch könnte die Abtragung alter Verbindlichkeiten nach der Haftentlassung die Resozialisierung des Gesuchstellers ernsthaft erschweren. Dies ist zu verhindern. Auch wenn der ausstehende Betrag von CHF 500. nicht hoch ist, kann ihm unter den gegebenen Umständen auch eine Ratenzahlung nicht zugemutet werden. Es rechtfertigt sich, ihm die Verfahrenskosten zu erlassen.</w:t>
      </w:r>
    </w:p>
    <w:p>
      <w:r>
        <w:rPr>
          <w:b/>
        </w:rPr>
        <w:t>E. 3</w:t>
      </w:r>
    </w:p>
    <w:p>
      <w:r>
        <w:t>3.1Nach dem Gesagten ist das Erlassgesuch gutzuheissen. Das Gesuchsverfahren ist kostenlos.</w:t>
      </w:r>
    </w:p>
    <w:p>
      <w:r>
        <w:t>3.2A____ hat das vorliegende Gesuch selbständig ohne Inanspruchnahme seiner amtlichen Verteidigerin C____ verfasst und eingereicht. Der vorliegende Entscheid ist deshalb auch dem Gesuchsteller persönlich zu eröffnen. Sollte es seinem Wunsch entsprechen, dass C____ Kenntnis davon erhält, hat der Gesuchsteller für die Weiterleitung des Entscheids selbst besorgt zu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