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HB.2019.41 vom 15. Juli 2019</w:t>
      </w:r>
    </w:p>
    <w:p>
      <w:r>
        <w:t>BS Appellationsgericht, 2019-07-15, DE</w:t>
      </w:r>
    </w:p>
    <w:p>
      <w:r>
        <w:rPr>
          <w:b/>
        </w:rPr>
        <w:t xml:space="preserve">Quelle: </w:t>
      </w:r>
      <w:r>
        <w:t>https://mcp.opencaselaw.ch/entscheid/bs_appellationsgericht_HB.2019.41</w:t>
      </w:r>
    </w:p>
    <w:p>
      <w:r>
        <w:t>FR: BS_APPELLATIONSGERICHT HB.2019.41 du 15 juillet 2019</w:t>
      </w:r>
    </w:p>
    <w:p>
      <w:r>
        <w:t>IT: BS_APPELLATIONSGERICHT HB.2019.41 del 15 luglio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 Die vorliegende Beschwerde ist form- und fristgerecht eingereicht worden, sodass darauf einzutreten ist.</w:t>
      </w:r>
    </w:p>
    <w:p>
      <w:r>
        <w:t>1.2Wie dem Beschwerdeführer bereits mit Verfügung der Instruktionsrichterin vom 2. Juli 2019 mitgeteilt wurde, werden Haftbeschwerden im schriftlichen Verfahren behandelt (Art. 397 Abs. 1 StPO). Das Beschwerdegericht zieht dafür die Verfahrensakten bei und beurteilt die Vorbringen der Parteien aufgrund ihrer schriftlichen Eingaben. Es werden keine Anhörungen durchgeführt.</w:t>
      </w:r>
    </w:p>
    <w:p>
      <w:r>
        <w:rPr>
          <w:b/>
        </w:rPr>
        <w:t>E. 2</w:t>
      </w:r>
    </w:p>
    <w:p>
      <w:r>
        <w:t>2.1Gemäss der angefochtenen Verfügung des Zwangsmassnahmengerichts hat sich der Anfangsverdacht der Schleppertätigkeit in der Zwischenzeit verdichtet und erweitert. Auch in Frankfurt und Zürich sollen sri-lankische Staatsangehörige die Einreise in den Schengenraum mit einem nicht zustehenden Reisepass von Malaysia versucht haben. Anlässlich der (indirekten) Konfrontationseinvernahme vom 27. Mai 2019 habe die Begleiterin des Beschwerdeführers bestätigt, dass der Beschwerdeführer ihr den Pass gegeben und genaue Instruktionen zu ihrem Verhalten erteilt habe. Sie habe eine Restschuld von 2,5 Millionen Rupien (ca. CHF 14500.) begleichen müssen. Es sei bereits früher, am 16. April 2019, zu einem erfolglosen Versuch der illegalen Einreise gekommen. Der Beschwerdeführer habe bereits am 12. Mai 2019 wieder nach Malaysia zurückreisen wollen. Im Falle einer Haftentlassung bestehe Fluchtgefahr. Es gelte sicherzustellen, dass er jedenfalls bis zu Abschluss des Ermittlungsverfahrens greifbar bleibe. Die mit der Haftanordnung vom 10. Mai 2019 verfügten Ersatzmassnahmen (Kaution von CHF 10000. und Hinterlegung des Reisepasses) seien ungenügend, da dem Beschwerdeführer inzwischen eine höhere Strafe drohe.</w:t>
      </w:r>
    </w:p>
    <w:p>
      <w:r>
        <w:t>2.2Der Beschwerdeführer macht geltend, es lägen gegen ihn keine eindeutigen Beweise vor. Die Aussagen der Zeugin, insbesondere deren Aussagen anlässlich der Konfrontation vom 27. Mai 2019 seien nicht klar und enthielten Mutmassungen. Die Identität der Zeugin sei dem Beschwerdeführer nicht bekannt. Es sei möglich, dass die Zeugin diesen Fall absichtlich manipuliert habe. Ihm sei zu keinem Zeitpunkt Geld gezahlt worden, und die Zeugin habe nicht erwähnt, dass sie illegal arbeiten müsse oder zu illegaler Arbeit gezwungen werde, um das Geld zu zahlen. Diese Annahme der Staatsanwaltschaft sei auch unlogisch, da der Beschwerdeführer über ein Rückflugticket für den 12. Mai 2019 verfüge. Bezüglich der Fluchtgefahr würden Massnahmen wie Polizeiaufsicht, Reiseverbot, Fingerabdrücke oder Kaution ausreichen. Der Beschwerdeführer ist weiter der Ansicht, im Falle einer Verurteilung könne gegen ihn wahrscheinlich nur eine Geldstrafe verhängt werden. Die Untersuchungshaft hindere ihn zudem, seine Geschäftstätigkeit auszuüben. Dies könne dazu führen, dass die Banken sein Haus und sein Auto versteigern würden.</w:t>
      </w:r>
    </w:p>
    <w:p>
      <w:r>
        <w:rPr>
          <w:b/>
        </w:rPr>
        <w:t>E. 3</w:t>
      </w:r>
    </w:p>
    <w:p>
      <w:r>
        <w:t>3.1Die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c/d und Art. 212 Abs. 2 lit. c StPO) und darf jedenfalls nicht länger als die zu erwartende Freiheitsstrafe dauern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 Scheidegger, 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1P.72/2002 vom 27. Februar 2002 E. 2.3; AGE HB.2017.33 vom 9. Oktober 2017 E. 3.1).</w:t>
      </w:r>
    </w:p>
    <w:p>
      <w:r>
        <w:t>Der Beschwerdeführer ist der qualifizierten Förderung der rechtswidrigen Ein- und Ausreise und des rechtswidrigen Aufenthaltes angeklagt, wobei er mit unrechtmässiger Bereicherungsabsicht und für eine Vereinigung oder Gruppe gehandelt habe, die sich zur fortgesetzten Begehung dieser Tat zusammengefunden habe. Gemäss Anklageschrift vom 26. Juni 2019 ist der Beschwerdeführer einer Schlepperorganisation beigetreten, die mit der Mutter seiner Begleiterin in Kontakt getreten sei. Dabei sei vereinbart worden, die Begleiterin für einen Preis von über CHF 20000. von Sri Lanka in die Schweiz zu bringen, damit sie hier einen Asylantrag stellen könne. Der Beschwerdeführer habe mit der Begleiterin zweimal telefonisch in Kontakt gestanden, sie dann am Flughafen von Kuala Lumpur getroffen und ihr den auf einen anderen Namen lautenden Reisepass gegeben. Dann sei er mit ihr über Istanbul nach Basel geflogen. Die Belastungen des Beschwerdeführers ergeben sich aus der Anhalte­situation (Begleitung einer jungen Frau, die ohne gültigen Pass einen Asylantrag stellen will) und deren Aussagen, wonach ihre Mutter eine Schlepperorganisation bezahlt habe, aber auch aus dem Chatverlauf auf dem Mobiltelefon des Beschwerdeführers und dessen eigenen widersprüchlichen Aussagen über sein Verhältnis zu seiner Begleiterin.</w:t>
      </w:r>
    </w:p>
    <w:p>
      <w:r>
        <w:t>Die Anklage beruht also auf konkreten Beweisen, was für die Annahme eines dringenden Tatverdachts ausreicht. Die Würdigung der einzelnen Beweise bleibt dem Strafgericht vorbehalten. Dass der Beschwerdeführer bereits bei seiner Einreise ein Rückflugticket für den 12. Mai 2019 hatte, ist für den Vorwurf der Förderung der rechtswidrigen Einreise anderer Personen nicht entscheidend: Ihm selber wird nicht vorgeworfen, dass er in der Schweiz habe bleiben wollen, sondern dass er eine junge Frau eingeschleust habe. Seine bereits geplante Rückreise bezieht sich auf die Zeit nach der vorgeworfenen Handlung und vermag so den Verdacht nicht zu entkräften.</w:t>
      </w:r>
    </w:p>
    <w:p>
      <w:r>
        <w:t>3.3Fluchtgefahr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Bei ausgeprägter Fluchtgefahr erweisen sich eine Kaution oder weitere Alternativen zur Untersuchungshaft nach der Praxis des Bundesgerichtes regelmässig als nicht ausreichend. Eine Kaution kommt nur in Frage, wenn sie tatsächlich geeignet ist, den Beschuldigten von einer Flucht abzuhalten (BGer 1B_251/2015 vom 12. August 2015 E. 3.2 und 4.5).</w:t>
      </w:r>
    </w:p>
    <w:p>
      <w:r>
        <w:t>Der Beschwerdeführer ist Staatsbürger von Malaysia. Er hätte bereits fünf Tage nach seiner Einreise in sein Heimatland zurückreisen wollen. Zur Schweiz hat er keinen Bezug. Der gegen den Beschwerdeführer erhobene Vorwurf wiegt nicht leicht. Auf eine qualifizierte Widerhandlung im Sinne von Art. 116 Abs. 3 AIG steht Freiheitsstrafe bis zu fünf Jahren. Konkret beantragt die Staatsanwaltschaft in der Anklageschrift die Beurteilung durch das Dreiergericht in Strafsachen, so dass im Falle einer Verurteilung mit einer Freiheitsstrafe von über 12 Monaten zu rechnen ist (§ 79 Abs. 3 Ziff. 2 und 3 GOG). Auf Grund der Vorwürfe ist anzunehmen, dass es sich beim Beschwerdeführer um einen Kriminaltouristen handelt, der im Falle eines Schuldspruchs mit einem effektiven Gefängnisaufenthalt zu rechnen hat (Freiheitsstrafe mit teilbedingtem Vollzug). Bei diesen Aussichten besteht ein hoher Fluchtanreiz, dem ein Beschuldigter ohne jegliche Verbindung mit der Schweiz zweifellos nachgeben würde. Damit ist der Haftgrund der Fluchtgefahr zu bejahen.</w:t>
      </w:r>
    </w:p>
    <w:p>
      <w:r>
        <w:t>3.4Unter dem Titel der Verhältnismässigkeit ist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Die Haft darf nur so lange bewilligt werden, als sie nicht in grosse zeitliche Nähe der (im Falle einer rechtskräftigen Verurteilung) konkret zu erwartenden Dauer der freiheitsentziehenden Sanktion rückt (Art. 212 Abs. 3 StPO).</w:t>
      </w:r>
    </w:p>
    <w:p>
      <w:r>
        <w:t>Der Beschwerdeführer befindet sich seit dem 7. Mai 2019 in Haft. Er bestreitet die Vorwürfe, so dass das Strafdreiergericht ihn nochmals zum Sachverhalt befragen und sich von ihm ein eigenes Bild machen muss. Das Interesse an seiner Anwesenheit in der Hauptverhandlung, der Aufklärung des Schleppereivorwurfs und dessen allfällige Sanktionierung wiegt schwer und überwiegt jenes an der sofortigen Wiedererlangung der Freiheit. Die Hauptverhandlung vor dem Strafdreiergericht ist auf den 6. August 2019 angesetzt. Der Beschwerdeführer befindet sich dannzumal drei Monate in Haft. Mit dieser Haftdauer wird die mutmassliche Dauer der Freiheitsstrafe, die dem Beschwerdeführer bei der vorliegenden Anklage im Fall eines rechtskräftigen Schuldspruchs droht, noch deutlich unterschritten. Daher erweist sich die Haftdauer in zeitlicher Hinsicht als verhältnismässig.</w:t>
      </w:r>
    </w:p>
    <w:p>
      <w:r>
        <w:t>Ersatzmassnahmen, die der vorliegenden Ausprägung der Fluchtgefahr wirksam begegnen würden, sind nicht ersichtlich. Im Unterschied zu seinem früheren Entscheid (Haftanordnung vom 10. Mai 2019) sieht das Zwangsmassnahmengericht im angefochtenen Entscheid vom 12. Juni 2019 Ersatzmassnahmen wie eine Kaution und die Hinterlegung des Reisepasses nicht mehr als genügend an. Zur Begründung ist hier nicht nur das vorinstanzliche Motiv der höheren Strafdrohung zu nennen, sondern auch die Wirkungslosigkeit der beiden anderen Massnahmen. Einen Verdächtigen mit der Hinterlegung des Reisepasses von einer Flucht abzuhalten wäre naiv, wenn der Vorwurf  wie hier  gerade die Verwendung ungültiger Papiere zur verbotenen Einreise einschliesst. Auch die Wirkung einer Kaution darf vorliegend nicht überschätzt werden: Die finanziellen Verhältnisse des Beschwerdeführers gestalten sich völlig intransparent. Auf Grund der Aussagen der Auskunftsperson besteht die Gefahr, dass die Kaution mit den Mitteln der Schlepperorganisation geleistet würde. Eine solche Drittkaution wäre aber wirkungslos, da ihr Verfall den Beschwerdeführer nicht selber treffen würde. Es würde ihm selber kein finanzieller Nachteil entstehen, wenn er zur Gerichtsverhandlung nicht erschiene. Da somit keine wirksamen Alternativen zur verlängerten Untersuchungshaft bestehen, erweist sich die angefochtene Haftverlängerung als verhältnismässig.</w:t>
      </w:r>
    </w:p>
    <w:p>
      <w:r>
        <w:rPr>
          <w:b/>
        </w:rPr>
        <w:t>E. 4</w:t>
      </w:r>
    </w:p>
    <w:p>
      <w:r>
        <w:t>Die Beschwerde ist nach dem Gesagten abzuweisen.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