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HB.2019.33 vom 3. Mai 2019</w:t>
      </w:r>
    </w:p>
    <w:p>
      <w:r>
        <w:t>BS Appellationsgericht, 2019-05-03, DE</w:t>
      </w:r>
    </w:p>
    <w:p>
      <w:r>
        <w:rPr>
          <w:b/>
        </w:rPr>
        <w:t xml:space="preserve">Quelle: </w:t>
      </w:r>
      <w:r>
        <w:t>https://mcp.opencaselaw.ch/entscheid/bs_appellationsgericht_HB.2019.33</w:t>
      </w:r>
    </w:p>
    <w:p>
      <w:r>
        <w:t>FR: BS_APPELLATIONSGERICHT HB.2019.33 du 3 mai 2019</w:t>
      </w:r>
    </w:p>
    <w:p>
      <w:r>
        <w:t>IT: BS_APPELLATIONSGERICHT HB.2019.33 del 3 maggio 2019</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bzw.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Die Beschwerdeführerin hat in ihrer Beschwerde vom 5. Mai 2019 ein Geständnis abgelegt und zugegeben, zusammen mit B____ und C____ insgesamt fünf Einbruchdiebstähle in Basel und Umgebung begangen zu haben. Der dringende Tatverdacht ist damit ohne weiteres gegeben.</w:t>
      </w:r>
    </w:p>
    <w:p>
      <w:r>
        <w:rPr>
          <w:b/>
        </w:rPr>
        <w:t>E. 4</w:t>
      </w:r>
    </w:p>
    <w:p>
      <w:r>
        <w:t>4.1Kollusionsgefahr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(BGE 137 IV 122 E. 4.2 S. 127 f., 132 I 21 E. 3.2 S. 23 f.; BGer 1B_388/2012 vom 19. Juli 2012 E. 2.4, 1B_207/2008 vom 11. August 2008 E. 4.2, 1B_44/2008 vom 13. März 2008 E. 5.1).</w:t>
      </w:r>
    </w:p>
    <w:p>
      <w:r>
        <w:t>4.2Die Beschwerdeführerin hat  wie soeben erwähnt  ein Geständnis abgelegt, sodass die Wahrheitsfindung nicht mehr beeinträchtigt werden und folgerichtig nicht mehr von Kollusionsgefahr ausgegangen werden kann.</w:t>
      </w:r>
    </w:p>
    <w:p>
      <w:r>
        <w:rPr>
          <w:b/>
        </w:rPr>
        <w:t>E. 5</w:t>
      </w:r>
    </w:p>
    <w:p>
      <w:r>
        <w:t>5.1Fluchtgefahr liegt gemäss Art. 221 Abs. 1 lit. a StPO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in diesem Sinne vorliegen, sind neben der Schwere der drohenden Sanktion die gesamten konkreten Verhältnisse, insbesondere die familiären und sozialen Bindungen der Beschuldigten, ihre berufliche und finanzielle Situation, Alter, Gesundheit, Reise- und Sprachgewandtheit sowie ihre Kontakte zum Ausland massgebend (BGer 1B_364/2017 vom 12. September 2017 E. 2.2, 1B_283/2016 vom 26. August 2016;Forster, in: Basler Kommentar StPO, 2. Auflage 2014, Art. 221 N 5; AGE HB.2016.32 vom 29. Juni 2016).</w:t>
      </w:r>
    </w:p>
    <w:p>
      <w:r>
        <w:t>5.2Die Beschwerdeführerin hat keinen Wohnsitz und auch sonst keinen Bezug zur Schweiz, sondern dürfte einzig zum Zweck des Begehens von Einbruchdiebstählen in die Schweiz eingereist sein. Indes hat die Beschwerdeführerin mangels bekannter Vorstrafen wohl nicht mit einer unbedingten Sanktion zu rechnen. Obwohl eine gewisse Fluchtneigung nicht in Abrede gestellt werden kann, kann aufgrund der nachfolgenden Erwägung offen gelassen werden, ob weiterhin von Fluchtgefahr auszugehen ist.</w:t>
      </w:r>
    </w:p>
    <w:p>
      <w:r>
        <w:rPr>
          <w:b/>
        </w:rPr>
        <w:t>E. 6</w:t>
      </w:r>
    </w:p>
    <w:p>
      <w:r>
        <w:t>6.1Unter dem Titel der Verhältnismässigkeit ist eine Abwägung zwischen den Interessen der Beschwerdeführerin an der Wiedererlangung ihrer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6.2Die Beschwerdeführerin befindet sich seit dem 4. März 2019 in Haft. Aufgrund der zur Diskussion stehenden Straftaten hat sie im Falle eines Schuldspruchs zwar mit einer (mutmasslich bedingten) Strafe zu rechnen, welche die vorläufig bis zum 29. Mai 2019 angeordnete Untersuchungshaft von insgesamt zwölf Wochen übersteigen wird. Indes ist dem Umstand ihrer fortgeschrittenen Schwangerschaft Rechnung zu tragen. Die letzten Wochen der Schwangerschaft bis zur Geburt sind erfahrungsgemäss besonders beschwerlich, was sich mit der psychischen Belastung in der Untersuchungshaft noch akzentuieren dürfte. Kommt dazu, dass seit der Haftanordnung des Zwangsmassnahmengerichts vom 3. Mai 2019 nun wieder beinahe drei Wochen verstrichen sind und aufgrund des Geständnisses der Beschwerdeführerin der darin verlangten Konfrontation mit B____ und C____ nicht mehr die gleiche Bedeutung zukommt (sofern eine solche nicht bereits stattgefunden hat). Darüber hinaus besteht mit der Büroadresse ihres amtlichen Verteidigers ein Zustelldomizil in der Schweiz und hat die Beschwerdeführerin versichert, ihrem Verteidiger ihre Wohnadresse im Ausland zwecks Kontaktaufnahme (beispielsweise für das Gesuch um Dispensation vom persönlichen Erscheinen zur Hauptverhandlung) mitzuteilen.</w:t>
      </w:r>
    </w:p>
    <w:p>
      <w:r>
        <w:t>6.3Auch wenn die medizinische Betreuung im Untersuchungsgefängnis gewährleistet ist, folgt aus dem Gesagten, dass die Haft für die Beschwerdeführerin eine besondere Härte darstellt. Das Interesse an der Wiedererlangung ihrer Freiheit und Entbindung in ihrer Heimat ist höher zu gewichten als das Interesse des Staates an der Verfolgung seines Strafanspruchs. Die Aufrechterhaltung von Untersuchungshaft ist nach dem Gesagten unverhältnismässig. Die Beschwerdeführerin ist in Gutheissung ihrer Beschwerde unverzüglich aus der Untersuchungshaft zu entlassen.</w:t>
      </w:r>
    </w:p>
    <w:p>
      <w:r>
        <w:rPr>
          <w:b/>
        </w:rPr>
        <w:t>E. 7</w:t>
      </w:r>
    </w:p>
    <w:p>
      <w:r>
        <w:t>Dem Ausgang des Beschwerdeverfahrens entsprechend obsiegt die Beschwerdeführerin, weshalb keine ordentlichen Kosten zu erheben sind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