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 vom 21. Januar 2019</w:t>
      </w:r>
    </w:p>
    <w:p>
      <w:r>
        <w:t>BS Appellationsgericht, 2019-01-21, DE</w:t>
      </w:r>
    </w:p>
    <w:p>
      <w:r>
        <w:rPr>
          <w:b/>
        </w:rPr>
        <w:t xml:space="preserve">Quelle: </w:t>
      </w:r>
      <w:r>
        <w:t>https://mcp.opencaselaw.ch/entscheid/bs_appellationsgericht_HB.2019.3</w:t>
      </w:r>
    </w:p>
    <w:p>
      <w:r>
        <w:t>FR: BS_APPELLATIONSGERICHT HB.2019.3 du 21 janvier 2019</w:t>
      </w:r>
    </w:p>
    <w:p>
      <w:r>
        <w:t>IT: BS_APPELLATIONSGERICHT HB.2019.3 del 21 gennaio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statt vieler: AGE HB.2017.13 vom 12. April 2017 E. 3.4).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rPr>
          <w:b/>
        </w:rPr>
        <w:t>E. 3.2</w:t>
      </w:r>
    </w:p>
    <w:p>
      <w:r>
        <w:t>3.2.1Dem Beschwerdeführer wird vorgeworfen, am Abend des 21. Dezember 2018 in das Fahrzeug von C____, der mit D____ (der Ehefrau des Beschwerdeführers bzw. der Mutter der gemeinsamen Tochter) im Wagen sass, gefahren zu sein. Der Beschwerdeführer behauptet auch im Beschwerdeverfahren, dass es sich dabei um einen Unfall gehandelt habe. C____ und D____ machen demgegenüber geltend, dass der Beschwerdeführer absichtlich in ihr Auto gefahren sei, nachdem er sie beide (sowie das familiäre Umfeld von C____) zuvor telefonisch beschimpft und bedroht habe. Ihre Angaben werden gestützt durch die Aussagen von E____ und F____, denen zufolge der Beschwerdeführer mit hoher respektive erhöhter Geschwindigkeit frontal nach links gegen das Fahrzeug von C____ gezogen und in dieses hineingefahren sei. Beide stufen das Manöver als eine mit Absicht herbeigeführte Kollision ein. Gemäss Aussagen von E____ habe der Beschwerdeführer davor auch nicht gebremst. Die Fotoaufnahmen von der Endstellung der Autos sprechen ebenfalls für diese Version, umso mehr als der Beschwerdeführer keine vernünftige Erklärung liefern kann, weshalb er auf dem Wendeplatz plötzlich nach links gefahren sein soll, zumal er kein technisches Versagen am Auto geltend macht. Der dringende Verdacht auf eine vorsätzlich herbeigeführte Kollision ergibt sich im Übrigen auch aus einer Aussage des Vaters von D____ (G____) anlässlich seiner Einvernahme vom 10. Januar 2019. Dieser führte dabei aus, der Beschwerdeführer habe sich bei ihm extra erkundigt, wo seine Tochter sei. Er habe diesem mitgeteilt, dass die Tochter nicht bei ihrer Mutter, sondern bei einer Freundin derselben sei. Die vermeintlich als Entlastung gedachte Behauptung des Beschwerdeführers in seiner Beschwerde vom 2. Januar 2019, er würde nicht absichtlich in ein Auto fahren, in welchem sich seine Tochter befinden könnte, entpuppt sich vor diesem Hintergrund als Bumerang. Der Hinweis von G____ deutet vielmehr auf ein planmässiges Vorgehen hin. Dazu kommt, dass G____ im Rahmen seiner Einvernahme ebenfalls ausführte, der Beschwerdeführer habe ihm gegenüber angegeben, den Unfall vorsätzlich herbeigeführt zu haben.</w:t>
      </w:r>
    </w:p>
    <w:p>
      <w:r>
        <w:t>3.2.2Zu den ihm vorgehaltenen Drohungen und Beschimpfungen äussert sich der Beschwerdeführer anlässlich seiner Einvernahme vom 22. Dezember 2018 nicht. Indes hat er in der Verhandlung vor dem Zwangsmassnahmengericht am 24. Dezember 2018 Beschimpfungen bzw. Beleidigungen zugegeben. Dass er seine Frau vor der Kollision mehrfach anrief, wird durch den entsprechenden Nachweis auf ihrem Mobiltelefon bestätigt. Ausserdem geht daraus hervor, dass er sie beschimpfte. Schliesslich bestätigt das Arztzeugnis vom 22. Dezember 2018 eine Verletzung am Jochbein von C____, dem der Beschwerdeführer im Nachgang der Kollision einen Faustschlag ins Gesicht verabreicht haben soll.</w:t>
      </w:r>
    </w:p>
    <w:p>
      <w:r>
        <w:t>3.2.3Vor dem Hintergrund des soeben Referierten bestehen aufgrund der bisherigen Untersuchungsergebnisse genügend konkrete Anhaltspunkte, die den Tatverdacht bezüglich Körperverletzung, Sachbeschädigung, Drohung sowie Beschimpfung belegen. Das Zwangsmassnahmengericht durfte damit das Bestehen eines dringenden Tatverdachts mit vertretbaren Gründen bejahen.</w:t>
      </w:r>
    </w:p>
    <w:p>
      <w:r>
        <w:rPr>
          <w:b/>
        </w:rPr>
        <w:t>E. 4</w:t>
      </w:r>
    </w:p>
    <w:p>
      <w:r>
        <w:t>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rPr>
          <w:b/>
        </w:rPr>
        <w:t>E. 4.2</w:t>
      </w:r>
    </w:p>
    <w:p>
      <w:r>
        <w:t>4.2.1Seit der zur Diskussion stehenden Verfügung des Zwangsmassnahmengerichts vom 24. Dezember 2018 wurde mit G____ eine weitere Person (formell) einvernommen. Indes fanden bis jetzt noch keine Konfrontationen des Beschwerdeführers mit den ihn belastenden D____, C____ und G____ statt. Bis diese durchgeführt sind, besteht die ernstzunehmende Gefahr, dass der eine absichtliche Kollision nach wie vor bestreitende Beschwerdeführer die zu seinem sozialen Nahraum gehörenden D____, C____ und G____ zu beeinflussen versucht, zumal seine Neigung zu Drohungen durch die SMS-Kommunikation mit C____, aber auch durch die Schilderungen von G____ anlässlich seiner Einvernahme vom 10. Januar 2019 ausreichend dokumentiert ist. Dazu kommt als weiteres Indiz der von der Staatsanwaltschaft eingereichte Polizeirapport bezüglich eines Vorfalls aus dem Jahr 2012, anlässlich welchem der Beschwerdeführer seine Ehefrau mit einem Messer bedroht hat. Dass vom Beschwerdeführer ausgesprochene Drohungen ernst zu nehmen sind, beweist nicht zuletzt die Aussage von C____ in seiner Einvernahme vom 22. Dezember 2018, wonach er aufgrund der Drohungen ernsthaft Angst bekunde, obwohl er gemäss eigener Aussage 16 Jahre Berufssoldat in der französischen Armee war und sich deshalb wohl durchaus zu wehren weiss bzw. nicht so leicht einzuschüchtern ist.</w:t>
      </w:r>
    </w:p>
    <w:p>
      <w:r>
        <w:t>4.2.2Die Einvernahmen der Auskunftspersonen E____, F____ sowie H____ sind noch ausstehend. Bezüglich dieser dürfte Kollusionsgefahr indes eher weniger zu bejahen sein, da keine soziale Beziehung zwischen dem Beschwerdeführer und ihnen besteht.</w:t>
      </w:r>
    </w:p>
    <w:p>
      <w:r>
        <w:t>4.2.3Insgesamt ist damit ernsthaft zu befürchten, dass der Beschwerdeführer Personen aus seinem sozialen Nahraum beeinflusst, um so die Wahrheitsfindung zu beeinträchtigen. Das Zwangsmassnahmengericht hat damit den Haftgrund der Kollusionsgefahr zu Recht bejaht.</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befindet sich seit dem 21. Dezember 2018 in Haft. Auf-grund der zur Diskussion stehenden Straftaten (die Strafrahmen reichen gemäss Art. 122, 123, 144, 177 sowie 180 des Schweizerischen Strafgesetzbuches [StGB, SR 311.0] von Geldstrafe bis zu zehn Jahren Freiheitsstrafe), hat der Beschwerdeführer im Falle eines Schuldspruchs mit einer Strafe zu rechnen, welche die vorläufig bis zum 4. Februar 2019 angeordnete Untersuchungshaft von insgesamt sechs Wochen weit übersteigen wird.</w:t>
      </w:r>
    </w:p>
    <w:p>
      <w:r>
        <w:rPr>
          <w:b/>
        </w:rPr>
        <w:t>E. 5.3</w:t>
      </w:r>
    </w:p>
    <w:p>
      <w:r>
        <w:t>5.3.1Das vom Beschwerdeführer als Ersatzmassnahme ins Feld geführte Annäherungs- und Kontaktverbot des Zivilgerichts Basel-Stadt vom 24. Dezember 2018 ist nicht geeignet, der Kollusionsgefahr angemessen zu begegnen. Einerseits betrifft das Verbot bloss die Kontaktaufnahme zu D____, nicht aber zu deren Vater und deren neuem Lebenspartner. Andererseits wäre es dem Beschwerdeführer möglich, Personen aus seinem Bekanntenkreis anzuweisen, seine Ehefrau bzw. deren Vater und C____ anzugehen und entweder einzuschüchtern oder mit ihnen zu kommunizieren.</w:t>
      </w:r>
    </w:p>
    <w:p>
      <w:r>
        <w:t>5.3.2Weiter ist darauf hinzuweisen, dass das Annäherungs- und Kontaktverbot wohl nur beschränkt wirksam ist, ergibt sich doch aus den Akten, dass der Beschwerdeführer schon vor dem zur Diskussion stehenden Vorfall in bedrängender Art und Weise per SMS und Telefon auf seine Ehefrau eingewirkt hat. Die Gefahr, dass der offensichtlich äusserst eifersüchtige Beschwerdeführer versuchen wird, trotz Annäherungs- und Kontaktverbot seine Ehefrau mittels SMS, telefonisch oder mit Hilfe anderer elektronischer Medien einzuschüchtern, ist deshalb gross. Eine unverzügliche Reaktion der Behörden könnte eine bereits begangene Kollusion nicht mehr rückgängig machen, was indes nicht in Kauf genommen werden kann.</w:t>
      </w:r>
    </w:p>
    <w:p>
      <w:r>
        <w:rPr>
          <w:b/>
        </w:rPr>
        <w:t>E. 6</w:t>
      </w:r>
    </w:p>
    <w:p>
      <w:r>
        <w:t>6.1Aus dem Gesagten ergibt sich, dass die Beschwerde abzuweisen ist. Bei diesem Ausgang des Verfahrens hat der Beschwerdeführer dessen ordentliche Kosten mit einer Gebühr von CHF 500. zu tragen (Art. 428 Abs. 1 StPO).</w:t>
      </w:r>
    </w:p>
    <w:p>
      <w:r>
        <w:t>6.2Hingegen ist dem Beschwerdeführer auch für das vorliegende Beschwerde-verfahren die amtliche Verteidigung zu bewilligen und seinem Vertreter ein Honorar aus der Gerichtskasse auszurichten. Der mit Honorarnote vom 16. Januar 2019 geltend gemachte Aufwand erscheint angemessen und ist zum Stundenansatz von CHF 200. zu vergüten. Zu erstatten sind auch die geltend gemachten Auslagen sowie die Mehrwertsteuer, wobei Kopiaturen praxisgemäss (AGE HB.2018.9 vom 15. Februar 2018 E. 6.2) bloss zu CHF 0.25 pro Stück vergütet werden. Das Honorar ist somit auf CHF 425.20 festzusetzen, einschliesslich Auslagen, zuzüglich Mehrwertsteuer zu 7,7 % (CHF 32.75).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