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HB.2019.27 vom 16. Mai 2019</w:t>
      </w:r>
    </w:p>
    <w:p>
      <w:r>
        <w:t>BS Appellationsgericht, 2019-05-16, DE</w:t>
      </w:r>
    </w:p>
    <w:p>
      <w:r>
        <w:rPr>
          <w:b/>
        </w:rPr>
        <w:t xml:space="preserve">Quelle: </w:t>
      </w:r>
      <w:r>
        <w:t>https://mcp.opencaselaw.ch/entscheid/bs_appellationsgericht_HB.2019.27</w:t>
      </w:r>
    </w:p>
    <w:p>
      <w:r>
        <w:t>FR: BS_APPELLATIONSGERICHT HB.2019.27 du 16 mai 2019</w:t>
      </w:r>
    </w:p>
    <w:p>
      <w:r>
        <w:t>IT: BS_APPELLATIONSGERICHT HB.2019.27 del 16 maggio 2019</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88 Abs. 1 in Verbindung mit § 93 Abs. 1 Ziff. 1 des Gerichtsorganisationsgesetzes [SG 154.100]). 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(Abs. 2). Die Haft muss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eines dringenden Tatverdachts ist erforderlich, dass aufgrund von genügend konkreten Tatsachen oder Informationen im Lichte aller Umstände objektiv darauf zu schliessen ist, der Betroffene habe das fragliche Verbrechen oder Vergehen begangen. 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HB.2016.27 vom 2. Juni 2016 E. 3.1, HB.2015.5 vom 24. Februar 2015 E. 3; vgl. auchHug/Scheidegger,in: Donatsch et al. [Hrsg.] Kommentar zur Schweizerischen Strafprozessordnung, 2. Auflage 2014, Art. 197 N 14 m.w.H.). Dass gegen ihn ein dringender Tatverdacht besteht, stellt der Beschwerdeführer zu Recht nicht in Abrede (Beschwerdebegründung II). Die ihm zur Last gelegten Delikte würden teilweise nicht bestritten. Die Staatsanwaltschaft reichte mit ihrem Haftverlängerungsgesuch im Übrigen den Entwurf der Anklageschrift, datierend vom 9. April 2019, ein, wodurch der Tatverdacht hinsichtlich sämtlicher dort aufgeführter Delikte insgesamt als gegeben zu erachten ist. Es handelt sich, nebst dem Vorwurf der Beteiligung an einem Kokaindeals (Verbrechen nach Art. 19 Abs. 2 Bst. a des Betäubungsmittelgesetzes, grosse Gesundheitsgefährdung), hauptsächlich um Delikte zum Nachteil seines Bruders C____ und seiner Mutter D____ (unter anderem mehrfache Drohung, Sachbeschädigung und Hausfriedensbruch zum Nachteil seines Bruders; [evtl. mehrfache] einfache Körperverletzung, versuchte Nötigung, Drohung und Beschimpfung zum Nachteil seiner Mutter). Weiter werden ihm Hinderung einer Amtshandlung, Sachbeschädigung zum Nachteil der Miteigentümerversammlung [...] und eine Widerhandlung gegen das Strassenverkehrsgesetz vorgeworfen.</w:t>
      </w:r>
    </w:p>
    <w:p>
      <w:r>
        <w:rPr>
          <w:b/>
        </w:rPr>
        <w:t>E. 4</w:t>
      </w:r>
    </w:p>
    <w:p>
      <w:r>
        <w:t>4.1Das Zwangsmassnahmengericht hat die Anordnung der Haft mit dem Haftgrund der Fortsetzungsgefahr begründet. Gemäss Art. 221 Abs. 1 lit.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begangen hat.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(vgl. BGE 137 IV 84 E. 3.2 S. 86 mit Hinweisen). Nach der Praxis des Bundesgerichtes kann die Anordnung bzw. Fortsetzung von strafprozessualer Haft wegen Fortsetzungs- oder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143 IV 9 E. 2.2 S. 12; 137 IV 84 E. 3.2 S. 85; 135 I 71 E. 2.2 S. 72 mit Hinweisen). Die Aufrechterhaltung von strafprozessualer Haft wegen Fortsetzungsgefahr ist nach der bundesgerichtlichen Praxis zulässig, wenn einerseits die Rückfallprognose negativ, d.h. ungünstig ist (vgl. BGE 143 IV 9 E. 2.9 S. 17), und andererseits die zu befürchtenden Delikte von schwerer Natur (im Sinne von Art. 221 Abs. 1 lit. c StPO) sind. Dabei stehen Delikte gegen die körperliche und sexuelle Integrität im Vordergrund; zulässig ist die Präventivhaft indes auch bei Delikten gegen die Freiheit.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(Art. 212 Abs. 2 lit. c StPO; BGE 143 IV 9 E. 2.2 S. 12; 137 IV 13 E 2.4-4 S. 17 ff.; 135 I 71 E. 2.3 S. 73; je mit Hinweisen).</w:t>
      </w:r>
    </w:p>
    <w:p>
      <w:r>
        <w:t>4.2Dem Beschuldigten wird eine Reihe von Delikten vorgeworfen. Neben dem Betäubungsmitteldelikt stehen Delikte gegen die körperliche Integrität und Freiheit von Familienangehörigen im Vordergrund. So soll er Anfang Dezember 2018 seinem Bruder damit gedroht haben, dessen Sohn umzubringen (Drohung). Am 19. Dezember 2018 soll er seiner Mutter durch einen Kick ein Hämatom am Oberschenkel zugefügt haben (einfache Körperverletzung). Am 27. Dezember 2018 soll er seine Mutter mit dem Tod bedroht haben (Drohung). Am 6. Januar 2019 soll er seiner Mutter einen Schlag ins Gesicht verpasst und ihr gegenüber damit gedroht haben, dass er seinen Bruder umbringen werde (einfache Körperverletzung, ev. Tätlichkeit, Drohung). Am 3. März 2019 soll er  unmittelbar nach der Entlassung aus dem Polizeigewahrsam und in Missachtung einer superprovisorischen Massnahme des Zivilgerichts Basel-Stadt  den Wohnort seiner Mutter aufgesucht und für den Fall, dass sie ihm die Türe nicht öffne, damit gedroht haben, eine Bombe zu legen und seinen Bruder umzubringen (versuchte Nötigung). Am 3. März 2019 soll er zudem auf dem Gartenareal beim Bahnhof St. Johann in Basel einem Gartenhäuschenbesitzer gegenüber damit gedroht haben, eine Bombe zu legen und den Garten in Brand zu setzen (Drohung). Hinzu kommen zahlreiche mutmassliche Hausfriedensbrüche, mehrere Diebstähle und Sachbeschädigungen, zwei Fälle von Hinderung einer Amtshandlung (29. Januar und 17. März 2019) sowie mehrfacher Ungehorsam gegen eine amtliche Verfügung (täglich ab 6. Januar 2019, Verstoss gegen Wegweisung und Rückkehrverbot).</w:t>
      </w:r>
    </w:p>
    <w:p>
      <w:r>
        <w:t>Das Zwangsmassnahmengericht verwies in seiner Begründung des angefochtenen Entscheids zur Chronologie der Vorfälle auf die Begründung der Haftanordnung durch das Zwangsmassnahmengericht vom 21. März 2019. Es führte weiter aus, dass der Beschuldigte anlässlich der Verhandlung vor dem Zwangsmassnahmengericht vom 6. März 2019 noch beteuert habe, sich nach der Entlassung aus dem Polizeigewahrsam umgehend mit dem Sozialamt in Verbindung zu setzen, um seine Wohnsituation zu regeln, Arbeit zu suchen und seine Mutter und seinen Bruder in Ruhe zu lassen. Ungeachtet des vom Zwangsmassnahmengericht verfügten Annäherungsverbots soll er am 8. März 2019 die Fassade der Liegenschaft am [...], in welcher seine Mutter wohnt, besprayt haben. Am 15. und 17. März habe er erneut das Grundstück des Gartenhäuschens seines Bruders betreten, wo er einen Sachschaden verursacht habe. Weiter habe er zwei geringfügige Diebstähle begangen sowie eine polizeiliche Kontrolle verhindert. Er habe somit trotz des hängigen Strafverfahrens, der ihm drohenden Untersuchungshaft und eines gerichtlichen Kontakt- und Annäherungsverbots weiter delinquiert. Er scheine völlig unbelehrbar zu sein, weshalb zu befürchten sei, dass er im Falle seiner Haftentlassung weitere gleich gelagerte Straftaten begehen würde, solange seine soziale Situation nicht stabilisiert sei. Dadurch würde die Sicherheit seiner Mutter und seines Bruders erneut gefährdet. Weiter würde der Abschluss des Ermittlungsverfahrens verunmöglicht. Die Vorinstanz stellte in Aussicht, dass eine Entlassung aus der Haft erfolgen könne, falls seitens des Männerwohnheims oder einer anderen Institution eine definitive Zusage für seine Aufnahme vorliege.</w:t>
      </w:r>
    </w:p>
    <w:p>
      <w:r>
        <w:t>4.3Zunächst ist dem Zwangsmassnahmengericht mit Verweis auf dessen Begründung, namentlich die Chronologie der im Raum stehenden Delikte und der wirkungslos gebliebenen Warnungen (Entlassung aus dem Polizeigewahrsam mit Auflagen / Kontakt- bzw. Annäherungsverbot am 6. März 2019), darin zuzustimmen, dass Fortsetzungsgefahr im Sinne des Gesetzes vorliegt. Die Fortsetzungsgefahr ergibt sich weniger aus den beiden Vorstrafen (5. März 2014, Jugendgericht Basel-Stadt, Vergehen gegen das Betäubungsmittelgesetz, Pornografie; 23. Juni 2016, Staatsanwaltschaft Basel-Landschaft, Verkehrsdelikte) als aus der Frequenz und Art der Delikte, welche Gegenstand des aktuellen Strafverfahrens sind. Es trifft zwar zu, dass die Vorwürfe, welche seit seiner letzten Entlassung gegen ihn dazugekommen sind, für sich genommen eher Bagatellcharakter haben. Aber sie lassen gelichzeitig erkennen und weiterhin befürchten, dass es beim Beschuldigten eben zu keiner entscheidenden Verhaltensänderung gekommen ist. Bereits am 15. März, und wieder am 18. März 2019 soll er (wie zuvor bereits am 28. Februar, 1. und 3. März 2019) erneut in den Schrebergarten seines Bruders eingebrochen sein, obwohl im am 6. März 2019 ein Verbot auferlegt worden war, sich dem Schrebergarten auf mehr als 100 Meter anzunähern. Dieses irritierende Weitermachen nährt Befürchtungen, dass es eben auch wieder zu schwereren Vorfällen, auch zu Delikten gegen Leib und Leben sowie gegen die Freiheit, kommen könnte. Konkret sind Delikte gegen die Rechtssphäre seines Bruders und seiner Mutter zu befürchten. Die betroffenen Rechtsgüter früherer mutmasslicher Vergehen waren unter anderem Leib und Leben sowie Freiheit. Es trifft mit anderen Worten entgegen der in der Beschwerde vertretenen Ansicht eben nicht zu, dass das Verhalten des Beschwerdeführers höchstens lästig sei, dass aber davon keine Gefahr für die Sicherheit anderer ausgeht. Die mutmasslichen Körperverletzungen mögen hinsichtlich der Verletzungsfolgen nicht besonders schwer wiegen; zusammen mit den damit verbundenen Drohungen müsste aber durchaus von Vergehen einer erheblichen Schwere ausgegangen werden, zumal sich Drohungen und Körperverletzungen in ihren Folgen gegenseitig verstärken (z.B. Ernsthaftigkeit der schweren Drohung aus Adressatensicht).</w:t>
      </w:r>
    </w:p>
    <w:p>
      <w:r>
        <w:t>4.4Bis zum heutigen Zeitpunkt liegt keine Anschlusslösung für einen sozialen Empfang des Beschuldigten für den Fall seiner Haftentlassung vor. Bestrebungen, eine solche Lösung mitsamt der hierfür erforderlichen Finanzierung zu finden, sind bisdatogescheitert. Es verstösst entgegen der Rüge des Beschwerdeführers nicht gegen Treu und Glauben, wenn für die Einlösung der von der Vorinstanz in Aussicht gestellten Haftentlassung eine tatsächlich funktionierende Lösung verlangt wird. Wenn die Bereitschaft einer Institution, den Beschuldigten aufzunehmen, von der Finanzierung durch die Sozialhilfe abhängig gemacht wird, eine solche aber nicht zustande kommt, scheitert die Aufnahme des Beschwerdeführers im Ergebnis. Damit würden im Falle der Haftentlassung aber gerade diejenigen prognostisch ungünstigen Bedingungen weiter herrschen, welche der Fortsetzungsgefahr Vorschub leisten. Von wem die Bemühungen für eine Anschlusslösung ausgegangen sind, ist vor diesem Hintergrund im Ergebnis sekundär.</w:t>
      </w:r>
    </w:p>
    <w:p>
      <w:r>
        <w:rPr>
          <w:b/>
        </w:rPr>
        <w:t>E. 5</w:t>
      </w:r>
    </w:p>
    <w:p>
      <w:r>
        <w:t>Mildere Massnahmen, welche eine Haft abwenden könnten, sind in der dargelegten Konstellation nicht ersichtlich, insbesondere weil der Beschwerdeführer sich in der Vergangenheit nicht an blosse Ermahnungen oder gerichtliche oder polizeiliche Auflagen gehalten hat. Die Dauer der ausgestandenen und nun angeordneten Haft kommt noch nicht in grosse Nähe der im Falle von Schuldsprüchen im Sinne der Anklage zu erwartenden Sanktionshöhe, selbst wenn nur die Delikte, welche im aktuellen Haftantrag aufgeführt wurden, berücksichtigt werden (also auch ohne Verbrechen gegen das Betäubungsmittelgesetz). Sollte es zu Schuldsprüchen unter anderem wegen mehrfacher Körperverletzung, Drohungen, Hausfriedensbrüchen und weiteren Delikten kommen, muss der Beschwerdeführer alleine deswegen mit einer Strafe rechnen, die länger dauert als die zur Debatte stehenden Haft. Die angeordnete Haftverlängerung erweist sich somit auch unter diesem Aspekt als rechtmässig.</w:t>
      </w:r>
    </w:p>
    <w:p>
      <w:r>
        <w:rPr>
          <w:b/>
        </w:rPr>
        <w:t>E. 6</w:t>
      </w:r>
    </w:p>
    <w:p>
      <w:r>
        <w:t>Nach dem Gesagten ist die Beschwerde abzuweisen. Auf die Erhebung einer Gebühr wird aufgrund der desolaten finanziellen Situation des Beschwerdeführers abgesehen. Sein Verteidiger wird für den angemessenen Aufwand aus der Gerichtskasse entschädigt. Zum Ansatz gelangt praxisgemäss ein Stundenansatz von CHF 200.. Für das Einreichen der Beschwerdeschrift sowie Bemühungen für eine Unterbringung des Beschwerdeführers im Männerwohnheim, soweit solche im Kontext der Beschwerdeführung unerlässlich und zwingend durch den Rechtsvertreter selbst vorzunehmen waren, erscheint ein Aufwand von knapp sechs Stunden als angemessen. Der Beschwerdeführer ist gemäss Art. 135 Abs. 4 der Strafprozessordnung indessen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