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HB.2019.26 vom 24. Mai 2019</w:t>
      </w:r>
    </w:p>
    <w:p>
      <w:r>
        <w:t>BS Appellationsgericht, 2019-05-24, DE</w:t>
      </w:r>
    </w:p>
    <w:p>
      <w:r>
        <w:rPr>
          <w:b/>
        </w:rPr>
        <w:t xml:space="preserve">Quelle: </w:t>
      </w:r>
      <w:r>
        <w:t>https://mcp.opencaselaw.ch/entscheid/bs_appellationsgericht_HB.2019.26</w:t>
      </w:r>
    </w:p>
    <w:p>
      <w:r>
        <w:t>FR: BS_APPELLATIONSGERICHT HB.2019.26 du 24 mai 2019</w:t>
      </w:r>
    </w:p>
    <w:p>
      <w:r>
        <w:t>IT: BS_APPELLATIONSGERICHT HB.2019.26 del 24 maggio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Die vorliegende Beschwerde gegen die Anordnung von Untersuchungshaft ist form- und fristgerecht eingereicht worden, so dass darauf einzutreten wäre. Allerdings ist die Beschwerde aufgrund der inzwischen erfolgten Haftentlassung gegenstandslos geworden, und es fehlt somit an einem aktuellen schutzwürdigen Interesse an der Beurteilung der vorliegenden Haftbeschwerde. Diesbezüglich ist das Verfahren somit zufolge Gegenstandslosigkeit abzuschreiben (vgl.Schmid/Jositsch, StPO Praxiskommentar, 3. Auflage 2018, Art. 382 N 2;Ziegler/Keller, in: Basler Kommentar StPO, 2. Auflage 2014, Art. 382 N 2;Lieber, in: Donatsch/Hansjakob/ Lieber [Hrsg.], Kommentar zur Schweizerischen Strafprozessordnung, 2. Auflage 2014, Art. 382 N 13; BGer 1B_351/2012 vom 20. September 2012 E. 2.3, in: Praxis 2012 Nr. 134). Die Eingaben und Anträge im Beschwerdeverfahren nach der Haftentlassung erscheinen überflüssig. Akteneinsicht erhält der Beschwerdeführer im Hauptverfahren.</w:t>
      </w:r>
    </w:p>
    <w:p>
      <w:r>
        <w:rPr>
          <w:b/>
        </w:rPr>
        <w:t>E. 2</w:t>
      </w:r>
    </w:p>
    <w:p>
      <w:r>
        <w:t>2.1Gemäss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wie vorliegend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AGE HB.2015.13 vom 1. April 2015 E. 2; BGer 6B.109/2010 vom 22. Februar 2011 E. 4.1; Botschaft zur Vereinheitlichung des Strafprozessrechts, in: BBl 2006 S. 1328;Schmid, Handbuch des schweizerischen Strafprozessrechts, 2. Auflage, Zürich/ St. Gallen 2013, N 1777;Domeisen, in: Basler Kommentar StPO, Art. 428 N 14).</w:t>
      </w:r>
    </w:p>
    <w:p>
      <w:r>
        <w:t>2.2Die Voraussetzungen der Untersuchungshaft beurteilen sich nach Art. 221 Abs. 1 StPO. Der Beschwerdeführer wurde wegen des Verdachts des Raufhandels und der einfachen Körperverletzung inhaftiert. Er selber und ein weiterer Mann (C____) erlitten Stich- und Schnitt­verletzungen, die von einem unbekannten Messer stammen. Aufgrund der sehr widersprüchlichen und teilweise auch ausweichend wirkenden Aussagen (D____) sowie dem Kontext der gewalttätigen Auseinandersetzung  Nachtclub mit ethnischer Zuordnung in den frühen Morgenstunden am Wochenende (vgl. Aussage Beschwerdeführer, Protokoll Zwangsmassnahmengericht S. 3, act. 5)  bestand gegen den Beschwerdeführer ein dringender Tatverdacht. Den Beschwerdeführer belastete die Aussage, dass er das Messer möglicherweise selber mit sich geführt und den Streitbeteiligen C____ damit verletzt habe. Bei der damaligen Ermittlungslage war der Tatverdacht des Raufhandels und der einfachen Körperverletzung gegeben.</w:t>
      </w:r>
    </w:p>
    <w:p>
      <w:r>
        <w:t>Kollusionsgefahr (Art. 221 Abs. 1 lit. b StPO) bestand im damaligen frühen Zeitpunkt nach der Tat, weil die Ermittlungen eben erst angelaufen waren. Ein Raufhandel mit Messereinsatz ist ein ernsthafter und schwerer Vorwurf. Die Situation war unübersichtlich: Es wurden rund 115 Personen kontrolliert, die Tatwaffe war verschwunden und es lagen widersprüchliche Aussagen der Beteiligten vor. Es bestand konkreter Bedarf nach weiteren Ermittlungen und namentlich unbeeinflussten Aussagen im Interesse der Wahrheitsfindung. Wegen der Schwere des Vorgefallenen und die zu erwartenden empfindlichen Strafen musste zudem ein erhöhter Anreiz für Kollusionshandlungen angenommen werden. Der Beschwerdeführer war kein Unbeteiligter, sondern zuvor aufgrund eines unangemessenen Verhaltens seines Bruders im Club aufgefallen und hatte diesen verlassen müssen, bevor es zur Schlägerei und zum Messereinsatz kam. Die Kollusionsgefahr war angesichts der vorgenannten Unklarheiten, der Widersprüche und Tatumstände sowie der Involvierung vieler Menschen sehr virulent. Die Haft war überdies verhältnismässig und die Hafterstehungsfähigkeit des Beschwerdeführers mit dem Bericht des Amtsarztes vom 26. April 2019 be­stätigt.</w:t>
      </w:r>
    </w:p>
    <w:p>
      <w:r>
        <w:t>2.3Bei dieser Ausgangslage wäre die Beschwerde mutmasslich abzuweisen gewesen, weshalb der Beschwerdeführer die Kosten des Verfahrens zu tragen hat. Die Gebühr wird auf CHF 500. festgelegt.</w:t>
      </w:r>
    </w:p>
    <w:p>
      <w:r>
        <w:t>Der Beschwerdeführer hat um Bewilligung der amtlichen Verteidigung für das Beschwerdeverfahren ersucht, die ihm im Hauptverfahren mit Verfügung der Staatsanwaltschaft vom 16. April 2019 bereits bewilligt wurde. Die amtliche Verteidigung ist in Nebenverfahren wie dem vorliegenden Beschwerdeverfahren gesondert zu prüfen (AGE BES.2018.123 vom 25. September 2018, BES.2018.30 vom 9. April 2018, BES.2017.147 / HB.2017.40 vom 8. Januar 2018, HB.2016.5 vom 17. März 2016). Die Beschwerde kann zwar vorliegend nicht als aussichtslos bezeichnet werden. Mit einem Jahreseinkommen von CHF 99210. kann der bei der [...] in [...] angestellte Beschwerdeführer aber nicht als mittellos gelten. Er muss im Falle einer Verurteilung für die Verteidigungskosten selber aufkommen. Der amtlichen Verteidigung kommt nach der Rechtsprechung des Bundesgerichts der Charakter einer vorläufigen Bevorschussung zu (BGE 139 IV 113 E. 5.1; ebenso AGE HB.2018.3 vom 22. Januar 2018 E. 5). Da der Beschwerdeführer nicht mittellos ist, werden ihm die Kosten für den Fall einer strafrechtlichen Verurteilung im Hauptverfahren direkt auferlegt (Ruckstuhl, in: Basler Kommentar StPO, Art. 135 N 23). Der amtliche Verteidiger ist für die notwendigen und angemessenen Bemühungen demnach aus der Gerichtskasse zu bevorschussen. Mangels Einreichung einer Kostennote ist sein Aufwand zu schätzen, wobei ein Aufwand von knapp sechs Stunden angemessen erscheint. Dieser ist zum üblichen Stundenansatz von CHF 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