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HB.2019.18 vom 20. März 2019</w:t>
      </w:r>
    </w:p>
    <w:p>
      <w:r>
        <w:t>BS Appellationsgericht, 2019-03-20, DE</w:t>
      </w:r>
    </w:p>
    <w:p>
      <w:r>
        <w:rPr>
          <w:b/>
        </w:rPr>
        <w:t xml:space="preserve">Quelle: </w:t>
      </w:r>
      <w:r>
        <w:t>https://mcp.opencaselaw.ch/entscheid/bs_appellationsgericht_HB.2019.18</w:t>
      </w:r>
    </w:p>
    <w:p>
      <w:r>
        <w:t>FR: BS_APPELLATIONSGERICHT HB.2019.18 du 20 mars 2019</w:t>
      </w:r>
    </w:p>
    <w:p>
      <w:r>
        <w:t>IT: BS_APPELLATIONSGERICHT HB.2019.18 del 20 marzo 2019</w:t>
      </w:r>
    </w:p>
    <w:p>
      <w:pPr>
        <w:pStyle w:val="Heading2"/>
      </w:pPr>
      <w:r>
        <w:t>Erwägungen</w:t>
      </w:r>
    </w:p>
    <w:p>
      <w:r>
        <w:rPr>
          <w:b/>
        </w:rPr>
        <w:t>E. 9</w:t>
      </w:r>
    </w:p>
    <w:p>
      <w:r>
        <w:t>April 2019 die kostenfällige Abweisung der Beschwerde (soweit darauf einzutreten sei) beantragt hat,</w:t>
      </w:r>
    </w:p>
    <w:p>
      <w:r>
        <w:t>dass   die Anordnung oder Verlängerung von Untersuchungs- oder Sicherheitshaft nach Art. 221 Abs. 1 der Schweizerischen Strafprozessordnung (StPO, SR 312.0) zulässig ist, wenn die beschuldigte Person eines Verbrechens oder Vergehens dringend verdächtig ist, Flucht-, Kollusions- oder Fortsetzungsgefahr besteht und die Haftanordnung im Sinne von Art. 212 StPO verhältnismässig erscheint,</w:t>
      </w:r>
    </w:p>
    <w:p>
      <w:r>
        <w:t>dass   nach einer erstinstanzlichen Verurteilung praxisgemäss von einem dringenden Tatverdacht auszugehen ist (BGer 1B_392/2013 vom 22. November 2013 E. 5; AGE HB.2017.33 vom 9. Oktober 2017 E. 3.1, HB.2018.24 vom 22. Mai 2018 E. 3.1),</w:t>
      </w:r>
    </w:p>
    <w:p>
      <w:r>
        <w:t>dass   der Beschwerdeführer eigenen Angaben zufolge staatenlos ist, über keinen festen Wohnsitz in der Schweiz verfügt und auch sonst keinerlei Bezug zur Schweiz aufweist (vielmehr lebte er während mehreren Jahren in Deutschland und Italien) und daher angesichts seiner Mobilität ernsthaft zu befürchten ist, dass er sich dem Vollzug der Freiheitsstrafe durch Untertauchen oder Absetzung ins Ausland entziehen würde,</w:t>
      </w:r>
    </w:p>
    <w:p>
      <w:r>
        <w:t>dass   die mehr als vierzigfache einschlägige Vorbestrafung in Italien, Deutschland und der Schweiz offenbar keinerlei Wirkung erzielt hat und daher damit zu rechnen ist, dass der Beschwerdeführer zur Bestreitung seines Lebensunterhalts (er weist mit Ausnahme eines Taschengelds von CHF 12. pro Tag von der Sozialhilfe keine legale Einkommensquelle auf und besitzt auch kein Vermögen) erneut Vermögendelikte begehen würde und daher neben Flucht- auch von Fortsetzungsgefahr auszugehen ist,</w:t>
      </w:r>
    </w:p>
    <w:p>
      <w:r>
        <w:t>dass   die vom Strafgericht ausgesprochene neunmonatige Freiheitsstrafe die Dauer der bisher ausgestandenen Haft noch immer übersteigt, dem Beschwerdeführer die Entlassung nach zwei Dritteln im Sinne von Art. 86 des Schweizerischen Strafgesetzbuches (StGB, SR 311.0) vom Strafgericht bereits implizit gewährt wurde (die Sicherheitshaft wurde bloss bis zum 6. Mai 2019 verlängert) und damit auch die Verhältnismässigkeit der Haftanordnung zu bejahen ist,</w:t>
      </w:r>
    </w:p>
    <w:p>
      <w:r>
        <w:t>dass   die Beschwerde damit abzuweisen ist,</w:t>
      </w:r>
    </w:p>
    <w:p>
      <w:r>
        <w:t>dass   der offensichtlich hablose Beschwerdeführer die Beschwerde ohne Rücksprache mit seiner Anwältin eingereicht hat und deshalb auf die Erhebung einer Urteilsgebühr umständehalber zu verzichten ist (Art. 428 Abs. 1 StPO in Verbindung mit § 40 des Gerichtsgebührenreglements [GGR, SG 154.810]),</w:t>
      </w:r>
    </w:p>
    <w:p>
      <w:r>
        <w:t>und erkennt:</w:t>
      </w:r>
    </w:p>
    <w:p>
      <w:r>
        <w:t>://:        Die Beschwerde wird abgewiesen, soweit darauf einzutreten ist.</w:t>
      </w:r>
    </w:p>
    <w:p>
      <w:r>
        <w:t>Auf die Erhebung einer Urteilsgebühr wird umständehalber verzichtet.</w:t>
      </w:r>
    </w:p>
    <w:p>
      <w:r>
        <w:t>Mitteilung an:</w:t>
      </w:r>
    </w:p>
    <w:p>
      <w:r>
        <w:t>APPELLATIONSGERICHT BASEL-STADT</w:t>
      </w:r>
    </w:p>
    <w:p>
      <w:r>
        <w:t>Der Präsident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