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HB.2019.12 vom 25. Januar 2019</w:t>
      </w:r>
    </w:p>
    <w:p>
      <w:r>
        <w:t>BS Appellationsgericht, 2019-01-25, DE</w:t>
      </w:r>
    </w:p>
    <w:p>
      <w:r>
        <w:rPr>
          <w:b/>
        </w:rPr>
        <w:t xml:space="preserve">Quelle: </w:t>
      </w:r>
      <w:r>
        <w:t>https://mcp.opencaselaw.ch/entscheid/bs_appellationsgericht_HB.2019.12</w:t>
      </w:r>
    </w:p>
    <w:p>
      <w:r>
        <w:t>FR: BS_APPELLATIONSGERICHT HB.2019.12 du 25 janvier 2019</w:t>
      </w:r>
    </w:p>
    <w:p>
      <w:r>
        <w:t>IT: BS_APPELLATIONSGERICHT HB.2019.12 del 25 gennaio 2019</w:t>
      </w:r>
    </w:p>
    <w:p>
      <w:pPr>
        <w:pStyle w:val="Heading2"/>
      </w:pPr>
      <w:r>
        <w:t>Erwägungen</w:t>
      </w:r>
    </w:p>
    <w:p>
      <w:r>
        <w:rPr>
          <w:b/>
        </w:rPr>
        <w:t>E. 1</w:t>
      </w:r>
    </w:p>
    <w:p>
      <w:r>
        <w:t>Die verhaftete Person kann Entscheide des Zwangsmassnahmengerichts über die Anordnung und Verlängerung der Untersuchungs- oder Sicherheitshaft mit Beschwerde anfechten (Art. 393 Abs. 1 lit. c in Verbindung mit Art. 222 StPO). Zuständiges Beschwerdegericht ist das Appellationsgericht als Einzelgericht (§ 88 Abs. 1 in Verbindung mit § 93 Abs. 1 Ziff. 1 des Gerichtsorganisationsgesetzes [SG 154.100]). Das Rechtsmittel ist nach Art. 396 Abs. 1 StPO innert 10 Tagen nach Eröffnung des Entscheids schriftlich und begründet bei der Beschwerdeinstanz einzureichen. Die vorliegende Beschwerde ist form- und fristgerecht eingereicht worden, so dass darauf einzutreten ist. Die Kognition des Beschwerdegerichts ist nach Art. 393 Abs. 2 StPO frei und nicht auf Willkür beschränkt.</w:t>
      </w:r>
    </w:p>
    <w:p>
      <w:r>
        <w:rPr>
          <w:b/>
        </w:rPr>
        <w:t>E. 2</w:t>
      </w:r>
    </w:p>
    <w:p>
      <w:r>
        <w:t>Die Anordnung oder Verlängerung von Untersuchungshaft ist nach Art. 221 Abs. 1 StPO zulässig, wenn die beschuldigte Person eines Verbrechens oder Vergehens dringend verdächtig ist und zudem Flucht-, Kollusions- oder Fortsetzungsgefahr besteht. Haft ist auch zulässig, wenn ernsthaft zu befürchten ist, eine Person werde ihre Drohung, ein schweres Verbrechen auszuführen, wahrmachen (Abs. 2). Die Haft muss verhältnismässig sein. Sie ist aufzuheben, sobald Ersatzmassnahmen zum gleichen Ziel führen (Art. 197 Abs. 1 lit. c, Art. 212 Abs. 2 lit. c StPO), und darf nicht länger dauern als die zu erwartende Freiheitsstrafe (Art. 212 Abs. 3 StPO).</w:t>
      </w:r>
    </w:p>
    <w:p>
      <w:r>
        <w:rPr>
          <w:b/>
        </w:rPr>
        <w:t>E. 3</w:t>
      </w:r>
    </w:p>
    <w:p>
      <w:r>
        <w:t>3.1Für die Bejahung eines dringenden Tatverdachts ist erforderlich, dass aufgrund von genügend konkreten Tatsachen oder Informationen im Lichte aller Umstände objektiv darauf zu schliessen ist, der Betroffene habe das fragliche Verbrechen oder Vergehen begangen. Nicht notwendig ist dagegen, dass der Sachverhalt bereits vollständig abgeklärt ist. Weder das Zwangsmassnahmengericht noch die Beschwerdeinstanz haben dem Sachgericht mit einem eigenen Beweisverfahren, einer erschöpfenden Abwägung sämtlicher belastender und entlastender Umstände oder einer umfassenden Bewertung der Glaubwürdigkeit der beteiligten Personen vorzugreifen. Im Haftprüfungsverfahren genügt der Nachweis von konkreten Verdachtsmomenten, wonach das inkriminierte Verhalten mit erheblicher Wahrscheinlichkeit die fraglichen Tatbestandsmerkmale erfüllen könnte. Das Beschleunigungsgebot in Haftsachen lässt keinen Raum für ausgedehnte Beweismassnahmen (BGE 137 IV 122 E. 3.2 S. 126; AGE HB.2016.27 vom 2. Juni 2016). Dabei sind an den dringenden Tatverdacht in einem früheren Stadium der Strafuntersuchung weniger strenge Anforderungen zu stellen als in einem weiter fortgeschrittenen Stadium der Ermittlungen (statt vieler: AGE HB.2018.24 vom 22. Mai 2018 E. 3.1).</w:t>
      </w:r>
    </w:p>
    <w:p>
      <w:r>
        <w:t>3.2Dem Beschwerdeführer wird im Sinne eines Verdachts zur Last gelegt, zusammen mit seinem Sohn am Handel mit Kokain, möglicherweise im qualifizierten Bereich nach Art. 19 Abs. 2 des Betäubungsmittelgesetzes (BetmG), beteiligt gewesen zu sein. Die Staatsanwaltschaft und das Zwangsmassnahmengericht sahen diesen Verdacht entgegen den Bestreitungen des Beschwerdeführers vor allem aufgrund nachfolgender Anhaltspunkte als erhärtet an: Eine polizeiliche Observation im Zeitraum zwischen Mai 2018 und dem 22. Januar 2019 bestätigte einen zuvor eingegangenen Hinweis darauf, dass aus einer Wohnung an der C____ Kokainhandel betrieben werde. Im Zeitraum der Observation seien mehrere Personen, welche die Liegenschaft betreten und jeweils kurz darauf wieder verlassen hätten, kontrolliert worden, wobei bei solchen Personen Kokainmengen zwischen 0.3 und</w:t>
      </w:r>
    </w:p>
    <w:p>
      <w:r>
        <w:rPr>
          <w:b/>
        </w:rPr>
        <w:t>E. 5</w:t>
      </w:r>
    </w:p>
    <w:p>
      <w:r>
        <w:t>Der Beschwerdeführer befindet sich seit dem 22. Januar 2019 in Untersuchungshaft. Die bisherige Haft ist  auch in Berücksichtigung der Verlängerung  noch bei weitem nicht in die Nähe der Strafe gerückt, die im Falle eines Schuldspruchs droht. Sollte ein Schuldspruch wegen eines Verbrechens nach Art. 19 Abs. 2 BetmG erfolgen, beträgt die Mindeststrafe dafür ein Jahr. Die Untersuchungshaft erweist sich auch unter diesem Aspekt als verhältnismässig.</w:t>
      </w:r>
    </w:p>
    <w:p>
      <w:r>
        <w:rPr>
          <w:b/>
        </w:rPr>
        <w:t>E. 6</w:t>
      </w:r>
    </w:p>
    <w:p>
      <w:r>
        <w:t>Nach dem Gesagten ist die Beschwerde abzuweisen. Das Rechtsmittel erwies sich angesichts der Indizienlage bezüglich des Tatverdachts und der in der vorliegenden Konstellation evidenten Fluchtgefahr als an der Grenze zur Aussichtslosigkeit liegend. Da die Untersuchungshaft für den Betroffenen aber einen schweren Eingriff in die persönliche Freiheit darstellt, ist der Aufwand der Verteidigerin dennoch zu entschädigen und ihr ist für ihre Bemühungen aus der Gerichtskasse ein angemessenes Honorar auszurichten. Mangels Einreichung einer Kostennote ist ihr Aufwand zu schätzen, wobei ein Aufwand von knapp sechs Stunden angemessen erscheint. Dieser ist zum üblichen Stundenansatz von CHF 200. zu entschädigen. Der Beschwerdeführer ist gemäss Art. 135 Abs. 4 StPO indessen verpflichtet, dem Gericht das der amtlichen Verteidigerin entrichtete Honorar zurückzuzahlen, sobald es seine wirtschaftlichen Verhältnisse erlauben.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