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HB.2019.10 vom 4. März 2019</w:t>
      </w:r>
    </w:p>
    <w:p>
      <w:r>
        <w:t>BS Appellationsgericht, 2019-03-04, DE</w:t>
      </w:r>
    </w:p>
    <w:p>
      <w:r>
        <w:rPr>
          <w:b/>
        </w:rPr>
        <w:t xml:space="preserve">Quelle: </w:t>
      </w:r>
      <w:r>
        <w:t>https://mcp.opencaselaw.ch/entscheid/bs_appellationsgericht_HB.2019.10</w:t>
      </w:r>
    </w:p>
    <w:p>
      <w:r>
        <w:t>FR: BS_APPELLATIONSGERICHT HB.2019.10 du 4 mars 2019</w:t>
      </w:r>
    </w:p>
    <w:p>
      <w:r>
        <w:t>IT: BS_APPELLATIONSGERICHT HB.2019.10 del 4 marzo 2019</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vgl. statt vieler: AGE HB.2017.13 vom 12. April 2017 E. 3.4).</w:t>
      </w:r>
    </w:p>
    <w:p>
      <w:r>
        <w:t>Der Beschwerdeführer bestreitet die ihm vorgeworfenen Delikte. Die Vorinstanz hat den erforderlichen dringenden Tatverdacht bezüglich dreier Einschleichdiebstähle bejaht und auf das aktuelle Beweisergebnis verwiesen: Im ersten Fall wurde eine DNA-Spur des Beschuldigten am Tatort gefunden , im zweiten Fall liegt eine auf ihn zutreffende Personenbeschreibung vor und im dritten Fall besteht ebenfalls eine zutreffende Personenbeschreibung sowie ein Schuhsohlenprofilabdruck, der mit grosser Wahrscheinlichkeit von einem Schuh des Beschuldigten stammt. Auch die Verteidigung hat bei dieser Beweislage mit Recht nicht bestritten, dass derzeit von einem dringenden Tatverdacht auszugehen ist (Beschwerde Rz. 2).</w:t>
      </w:r>
    </w:p>
    <w:p>
      <w:r>
        <w:rPr>
          <w:b/>
        </w:rPr>
        <w:t>E. 4</w:t>
      </w:r>
    </w:p>
    <w:p>
      <w:r>
        <w:t>4.1Als besonderen Haftgrund hat die Vorinstanz Fluchtgefahr angenommen. Sie begründet diese damit, dass das Asylgesuch des algerischen Beschwerdeführers, von dem vier Aliasnamen bekannt seien und der keinen näheren Bezug zur Schweiz habe, am</w:t>
      </w:r>
    </w:p>
    <w:p>
      <w:r>
        <w:rPr>
          <w:b/>
        </w:rPr>
        <w:t>E. 7</w:t>
      </w:r>
    </w:p>
    <w:p>
      <w:r>
        <w:t>Bei diesem Ausgang des Verfahrens trägt der Beschwerdeführer dessen Kosten mit einer Entscheidgebühr von CHF 500.‒. Die Verteidigung wird gemäss ihrer Aufstellung aus der Gerichtskasse entschädigt. Für die Beträge wird auf das Entscheiddispositiv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