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HB.2018.37 vom 1. Juni 2018</w:t>
      </w:r>
    </w:p>
    <w:p>
      <w:r>
        <w:t>BS Appellationsgericht, 2018-06-01, DE</w:t>
      </w:r>
    </w:p>
    <w:p>
      <w:r>
        <w:rPr>
          <w:b/>
        </w:rPr>
        <w:t xml:space="preserve">Quelle: </w:t>
      </w:r>
      <w:r>
        <w:t>https://mcp.opencaselaw.ch/entscheid/bs_appellationsgericht_HB.2018.37</w:t>
      </w:r>
    </w:p>
    <w:p>
      <w:r>
        <w:t>FR: BS_APPELLATIONSGERICHT HB.2018.37 du 1 juin 2018</w:t>
      </w:r>
    </w:p>
    <w:p>
      <w:r>
        <w:t>IT: BS_APPELLATIONSGERICHT HB.2018.37 del 1 giugno 2018</w:t>
      </w:r>
    </w:p>
    <w:p>
      <w:pPr>
        <w:pStyle w:val="Heading2"/>
      </w:pPr>
      <w:r>
        <w:t>Erwägungen</w:t>
      </w:r>
    </w:p>
    <w:p>
      <w:r>
        <w:rPr>
          <w:b/>
        </w:rPr>
        <w:t>E. 1</w:t>
      </w:r>
    </w:p>
    <w:p>
      <w:r>
        <w:t>1.1Die verhaftete Person kann Entscheide des Zwangsmassnahmengerichts über die Anordnung, Verlängerung und Aufhebung der Untersuchungs- oder Sicherheitshaft mit Beschwerde anfechten (Art. 393 Abs. 1 lit. c i.V.m. Art. 222 der Strafprozessordnung [StPO, SR 312.0). Der Beschwerdeführer ist durch die angefochtene Verfügung beschwert und deshalb zur Beschwerde legitimiert (Art. 382 StPO).</w:t>
      </w:r>
    </w:p>
    <w:p>
      <w:r>
        <w:t>1.2Zuständiges Beschwerdegericht ist das Appellationsgericht als Einzelgericht (§ 17 lit. b des Gesetzes über die Einführung der Schweizerischen Strafprozessordnung [EG StPO, SG 257.100] und § 93 a Abs. 1 Ziff. 1 i.V.m. 99 des Gerichtsorganisationsgesetzes [GOG, SG 154.100]). Die Kognition des Beschwerdegerichts ist gemäss Art. 393 Abs. 2 StPO frei und nicht auf Willkür beschränkt.</w:t>
      </w:r>
    </w:p>
    <w:p>
      <w:r>
        <w:rPr>
          <w:b/>
        </w:rPr>
        <w:t>E. 2</w:t>
      </w:r>
    </w:p>
    <w:p>
      <w:r>
        <w:t>Die Anordnung von Untersuchungs- und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und Art. 212 Abs. 2 lit. c StPO) und darf nicht länger dauern als die zu erwartende Freiheitsstrafe (Art. 212 Abs. 3 StPO).</w:t>
      </w:r>
    </w:p>
    <w:p>
      <w:r>
        <w:t>2.1Zu prüfen ist somit im Folgenden, ob dringender Tatverdacht vorliegt.</w:t>
      </w:r>
    </w:p>
    <w:p>
      <w:r>
        <w:t>2.1.1Für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Vielmehr ist davon auszugehen, dass weder das Zwangsmassnahmengericht noch die Beschwerdeinstanz dem Sachgericht mit einem eigenen Beweisverfahren, einer erschöpfenden Abwägung sämtlicher belastender und entlastender Umstände oder einer umfassenden Bewertung der Glaubwürdigkeit der beteiligten Personen vorzugreifen haben (BGE 137 IV 122 E. 3.2 S. 126 f.; statt vieler APE HB.2011.27 vom 14. September 2011 E. 4.1.).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Stadium der Strafuntersuchung weniger strenge Anforderungen zu stellen als in einem weiter fortgeschrittenen Stadium der Ermittlungen.</w:t>
      </w:r>
    </w:p>
    <w:p>
      <w:r>
        <w:t>2.1.2Die Verteidigerin macht geltend, es handle sich beim überwiegenden Teil der ihrem Mandanten vorgeworfenen Delikte um Übertretungen, für welche keine Haft angeordnet werden dürfe (Beschwerde S. 3 f.). Damit dringt sie jedoch nicht durch.</w:t>
      </w:r>
    </w:p>
    <w:p>
      <w:r>
        <w:t>Zwar ist richtig, dass Übertretungen grundsätzlich von Gesetzes wegen keine Grundlage für Untersuchungshaft darstellten können (Art. 221 Abs. 1 StPO)  wenn diese auch unter Umständen für die Beurteilung des Haftgrunds der Fortsetzungshaft relevant sind (s. dazu unten E. 2.2). Vorliegend werden dem Beschwerdeführer jedoch durchaus nicht nur Übertretungen wie die von der Verteidigung genannten Tatbestände des Missbrauchs einer Fernmeldeanlage und des Ungehorsams gegen eine amtliche Verfügung vorgeworfen. Vielmehr handelt es sich dabei auch um weitere  zum Teil versucht begangene  massive Nötigungshandlungen, Sachbeschädigungen, Drohungen, Beschimpfungen, einfache Körperverletzung und Erpressung. So wird ihm etwa zur Last gelegt, einen Velofahrer beschimpft, geschlagen und unter Drohungen davon abgehalten zu haben, die Polizei zu rufen. Weiter habe er den Lenker eines Autos verfolgt, beschimpft und sein Fahrzeug mit Steinen beworfen, seine ehemalige Anwältin belästigt und verfolgt, deren Mitarbeiter und Vorgesetzte beschimpft, bedroht und zu erpressen versucht und einen Passanten Kung-Fu artig in den Rücken getreten (vgl. im Einzelnen Verlängerungsgesuch der Staatsanwaltschaft vom 24. Juli 2018 S. 2 ff. ). Diese Delikte vermögen aufgrund ihrer Schwere durchaus die Anordnung von Haft zu rechtfertigen.</w:t>
      </w:r>
    </w:p>
    <w:p>
      <w:r>
        <w:t>2.1.3Entgegen der Auffassung der Beschwerdeführerin wurde bei den genannten Delikten auch nicht ein Tatverdacht konstruiert, um die Untersuchungshaft zu rechtfertigen (so aber die Verteidigung auf S. 4 der Beschwerde): Dass der Tatverdacht hinreichend ist, ergibt sich vielmehr, wie auch die Vorinstanz zutreffend erwogen hat, aus den diversen Polizeirapporten sowie den Angaben der Geschädigten und Opfer, welche den Beschwerdeführer mit immer wieder ähnlichen Vorwürfen bezüglich fremdaggressives Verhalten belasten (vgl. Einvernahme B____ vom 5. Juni 2018; Einvernahme C____ vom 29. Mai 2018; Angaben D____ im Polizeirapport vom 1. Dezember 2017; Einvernahme E____ vom 3. Mai 2018; Einvernahme F____ vom 7. April 2018). Deren Aussagen werden auch von diversen Zeugen bestätigt (vgl. etwa Angaben G____ und H____ im Polizeirapport vom 7. März 2018; Einvernahme I____ vom 30. Mai 2018; Angaben J____ im Polizeirapport vom 1. Dezember 2017; Angaben Sekretärin der Advokatur K____ in Aktennotiz Staatsanwaltschaft vom 6. April 2018).</w:t>
      </w:r>
    </w:p>
    <w:p>
      <w:r>
        <w:t>Die rechtliche Einordnung der Vorfälle ist nachvollziehbar (vgl. Stellungnahme der Staatsanwaltschaft zur vorliegenden Beschwerde vom 10. August 2018) und wird im Übrigen zur gegebenen Zeit vom Sachgericht zu überprüfen sein. Wenn die Verteidigung ausführt, die Erwägung des Zwangsmassnahmengerichts, wonach der Entscheid, ob in Bezug auf den Geschädigten C____ tatsächlich eine Nötigung vorliege oder nicht, Aufgabe des Sachgerichts sei, nehme dem Beschwerdeführer jede Möglichkeit, sich zu verteidigen und allenfalls aus der Haft entlassen zu werden (Beschwerde S. 4), so ist ihr entgegenzuhalten, dass wie bereits erwogen nach ständiger Rechtsprechung des Bundesgerichts weder das Zwangsmassnahmengericht noch die Beschwerdeinstanz dem Sachgericht mit einem eigenen Beweisverfahren vorzugreifen haben. Im Übrigen ist darauf hinzuweisen, dass der Geschädigte C____ gemäss Akten den Verzicht auf eine Anzeige damit begründet hat, dass er nicht gewollt habe, dass der Autofahrer seine Adresse bekomme (Einvernahme C____ vom 29. Mai 2018, S. 4). Zur Begründung hat er ausgeführt: Ich dachte, dass er (der Beschuldigte) eine Dummheit machen und mich zu Hause abpassen könnte. Ich wohne noch bei meinen Eltern und habe eine kleine Schwester. Diese wollte ich schützen (Einvernahme C____, a.a.O.). Wie die Verteidigung bei dieser Sachlage anführen kann, es sei kein Tatverdacht wegen Nötigung gegeben, weil der Geschädigte ja keine Anzeige habe stellenwollen(vgl. Beschwerde S. 4), ist nicht verständlich. Ohne dem Sachgericht vorzugreifen ist sodann in Bezug auf den Tatverdacht der Nötigung gegenüber E____  welchen die Verteidigung mit dem Argument bestreitet, der Beschuldigte habe diese jeweils lediglich gebeten, sie zu treffen oder anzurufen (vgl. Replik)  festzuhalten, dass sich die Bedrängnis der Privatklägerin ungeachtet der Wortwahl des Beschuldigten zweifellos aus ihrer Einvernahme ergibt (ab diesem Zeitpunkt war es für mich sehr unangenehm, Einvernahme E____ vom 3. Mai 2018, S. 5). Angesichts der Häufigkeit und Intensität seiner Kontaktaufnahmen gegen ihren mehrfach erklärten Willen kann es selbstverständlich auch nicht auf die in den Belästigungen gewählten Formulierungen des Beschwerdeführers ankommen. Der dringende Tatverdacht ist somit in Bezug auf beide (versuchten) Nötigungen gegeben.</w:t>
      </w:r>
    </w:p>
    <w:p>
      <w:r>
        <w:t>2.1.4Weiter ist auch nicht notwendig, dass der Beschwerdeführer im Haftverfahren bereits mit sämtlichen Belastungszeugen konfrontiert worden ist, damit der Tatverdacht bejaht werden kann (so die Verteidigung, vgl. Beschwerde S. 4). Eine Konfrontation kann vielmehr auch noch zu einem späteren Zeitpunkt oder im Rahmen der erstinstanzlichen  allenfalls gar zweitinstanzlichen (vgl. dazu BGE 140 IV 196 E. 4.4.2)  Verhandlung stattfinden. Zu prüfen ist im Verfahren der Haftanordnung wie erwogen lediglich, ob die Justizbehörden aufgrund der vorhandenen Anhaltspunkte das Bestehen eines dringenden Tatverdachts mit vertretbaren Gründen bejahen durften. Dies ist vorliegend der Fall. Wenn die Verteidigerin geltend macht, der vorinstanzliche Entscheid sei nicht genügend begründet und das Zwangsmassnahmengericht hätte insbesondere aufgrund der Einvernahmen im Fall C____ die Nötigung verneinen müssen (Beschwerde S. 10), dann verlangt sie just jene Beweiswürdigung, welche dem Sachgericht vorbehalten ist. Ebenso verhält es sich mit den Vorwürfen, es liege keine (versuchte) Erpressung zum Nachteil der K____ oder keine (versuchte) Nötigung zum Nachteil von E____ vor, was vom Zwangsmassnahmengericht nicht geprüft worden sei (Beschwerde S. 7). Wie erwogen ist ein dringender Tatverdacht in Bezug auf diese Delikte erstellt, was für die Anordnung von Untersuchungshaft genügt.</w:t>
      </w:r>
    </w:p>
    <w:p>
      <w:r>
        <w:t>2.1.5Der abschliessende Vorwurf der Verteidigung, der Entscheid des Zwangsmassnahmengerichts sei so pauschal begründet, dass sich der Beschwerdeführer gar nicht wirksam verteidigen könne, weshalb das rechtliche Gehör verletzt sei (Beschwerde S. 7), wird schon allein durch die ausführliche Haftbeschwerde selbst widerlegt. Im Übrigen setzt sich das Zwangsmassnahmengericht ausreichend mit der Argumentation des Beschwerdeführers auseinander. Es ist nicht erforderlich, dass ein Entscheid sich mit sämtlichen Parteistandpunkten einlässlich auseinandersetzt und jedes einzelne Vorbringen der Parteien ausdrücklich widerlegt. Vielmehr kann  und muss im Hinblick auch auf die Verfahrensökonomie und die Verständlichkeit des Entscheids  sich die Behörde auf die für den Entscheid wesentlichen Gesichtspunkte beschränken (vgl.Stohner,in: Niggli/Heer/Wiprächtiger [Hrsg.], Schweizerische Strafprozessordnung, 2. Auflage, Basel 2014, Art. 81 N 9).</w:t>
      </w:r>
    </w:p>
    <w:p>
      <w:r>
        <w:t>Der Vollständigkeit halber ist festzuhalten, dass allfällige Gehörsverletzungen im Beschwerdeverfahren angesichts der vollen Kognition des Beschwerdegerichts geheilt werden können, so lange es sich nicht um solche schwerwiegender Art handelt (statt vieler: AGE HB.2018.1 vom 11. Januar 2018). Dies ist hier klarerweise nicht der Fall (vgl. zu einer schwerwiegenden Gehörsverletzung AGE BES.2016.115 vom 3. April 2017). Da sich der Beschwerdeführer vorliegend noch einmal zu allen Punkten geäussert hat, wäre eine allfällige Gehörsverletzung somit ohnehin geheilt.</w:t>
      </w:r>
    </w:p>
    <w:p>
      <w:r>
        <w:t>2.1.6Zusammenfassend liegt somit in Bezug auf sämtliche Delikte ein dringender Tatverdacht vor.</w:t>
      </w:r>
    </w:p>
    <w:p>
      <w:r>
        <w:t>2.2Das Zwangsmassnahmengericht hat als Haftgrund Fortsetzungsgefahr bejaht. Dies wird vom Beschwerdeführer bestritten. Zur Begründung wird ausgeführt, in den Fällen, in denen der dringende Tatverdacht zu verneinen sei, sei das Vorliegen eines Haftgrundes ohnehin nicht mehr zu prüfen. In Bezug auf die Drohung zum Nachteil der Firma K____ und eventualiter die Nötigung zum Nachteil von E____ liege keine solche Gefahr vor, zumal der Beschwerdeführer lediglich ein einziges Mal wegen Nötigung verurteilt worden sei, und zwar im Jahre 2007 (Beschwerde S. 11).</w:t>
      </w:r>
    </w:p>
    <w:p>
      <w:r>
        <w:t>2.2.1Sinn und Zweck der Anordnung von Haft wegen Wiederholungs- bzw. Fortsetzungsgefahr ist die Verhütung von Delikten. Die Haft ist somit überwiegend Präventivhaft. Die Notwendigkeit, die beschuldigte Person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kompliziert und in die Länge zieht (BGE 137 IV 84 E. 3.2 S. 85; 135 I 71 E. 2.2 S. 72). Der Haftgrund der Wiederholungsgefahr ist restriktiv zu handhaben (BGE 137 IV 84 E. 3.2 S. 85; 135 I 71 E. 2.3, 2.6 und 2.11 S. 73 ff.).</w:t>
      </w:r>
    </w:p>
    <w:p>
      <w:r>
        <w:t>Art. 221 Abs. 1 lit. c StPO setzt die ernsthafte Befürchtung voraus, dass die beschuldigte Person durch schwere Verbrechen oder Vergehen die Sicherheit anderer erheblich gefährdet, nachdem sie bereits früher gleichartige Strafen verübt hat. Verlangt ist mithin eine ernsthafte und erhebliche Gefährdung der Sicherheit anderer durch schwere Verbrechen oder Vergehen. Verbrechen sind Taten, die mit Freiheitsstrafe von mehr als drei Jahren bedroht sind (Art. 10 Abs. 2 StGB); Vergehen sind Taten, die mit Freiheitsstrafe bis zu drei Jahren oder mit Geldstrafe bedroht sind (Art. 10 Abs. 3 StGB). Nach bundesgerichtlicher Rechtsprechung werden jegliche, nicht nur schwere Verbrechen erfasst; gestützt auf den französischsprachigen Gesetzestext  des crimes ou des délits graves  ist die Bestimmung dahingehend auszulegen, dass Verbrechen oder schwere Vergehen drohen müssen (vgl. zum Ganzen Forster, in: Basler Kommentar StPO, Basel 2011, Art. 221 StPO N 11 ff. ; BGE 137 IV 84 E. 3.2 S. 86). 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(Forster, a.a.O., Art. 221 StPO N 14).</w:t>
      </w:r>
    </w:p>
    <w:p>
      <w:r>
        <w:t>Das Gesetz verlangt als weitere Voraussetzung der Präventivhaft wegen Wiederholungsgefahr, dass die beschuldigte Person bereits früher gleichartige Vortaten verübt hat (vgl. insoweit BGE 137 IV 84 E. 3.2 S. 86 mit Hinweis auf BGE 137 IV 13). Auch bei den Vortaten muss es sich um Verbrechen oder schwere Vergehen gegen gleiche oder gleichartige Rechtsgüter gehandelt haben. Die früher begangenen Straftaten können sich aus rechtskräftig abgeschlossenen früheren Strafverfahren ergeben, aber auch Gegenstand des noch hängigen Strafverfahrens bilden, in dem sich die Frage der Untersuchungs- und Sicherheitshaft stellt. Das Gesetz spricht von verübten Straftaten und nicht bloss von einem Verdacht, sodass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(Forster,a.a.O., Art. 221 StPO N 15;Schmid,Schweizerische Strafprozessordnung, Praxiskommentar, Zürich 2009, Art. 221 StPO N 12).</w:t>
      </w:r>
    </w:p>
    <w:p>
      <w:r>
        <w:t>2.2.2Vorliegend steht die Fortsetzungsgefahr ausser Frage. Der Beschwerdeführer ist einschlägig vorbestraft, und zwar auch in Bezug auf Gewaltdelikte wie die hier zur Debatte stehenden. Entgegen den Ausführungen der Verteidigung handelt es sich dabei durchaus nicht nur um eine Verurteilung wegen Nötigung aus dem Jahr 2007: Unter den insgesamt 15 Vorstrafen befinden sich Delikte gegen die persönliche Integrität, so etwa mehrfache Drohungen, Nötigungen, mehrfache Beschimpfungen, mehrfache Tätlichkeiten und einfache Körperverletzung (vgl. Strafregister-Auszug). Damit ist das Erfordernis der Vortaten erfüllt. Auffällig ist, dass sich sein aggressives Verhalten gegenüber Unbekannten in der Zeit vor seiner Festnahme erheblich gehäuft hat. Weder eine Fernhaltemassnahme des Zivilgerichts Basel-Stadt noch eine kurzzeitige Festnahme am 6. April 2018 konnten ihn von der Begehung weiterer Delikte abhalten.</w:t>
      </w:r>
    </w:p>
    <w:p>
      <w:r>
        <w:t>In einem im Jahr 2008 erstellten psychiatrischen Gutachten wurde beim Beschwerdeführer überdies die Diagnose einer kombinierten Persönlichkeitsstörung mit dissozialen und emotional-instabilen Elementen sowie ein Abhängigkeitssyndrom von Cannabis gestellt. Weiter wird in einem Zwischenbericht aus dem Jahr 2009 festgehalten, beim Beschwerdeführer bestehe eine geringe Fähigkeit zum Erleben von Schuldbewusstsein und eine starke Tendenz, anderen die Verantwortung für seine Handlungen zuzuschieben. Eine Übersicht seiner ambulanten Aufenthalte in den Universitären Psychiatrischen Kliniken Basel-Stadt (UPK BS) ergibt zudem, dass er auch dort immer wieder durch aggressives Verhalten aufgefallen ist.</w:t>
      </w:r>
    </w:p>
    <w:p>
      <w:r>
        <w:t>Die Staatsanwaltschaft hat daher zu Recht am 17. Juli 2018 einen entsprechenden Gutachtensauftrag an die UPK Basel-Stadt erteilt. Bis dieses aktuelle Gutachten nun vorliegt ist ohnehin nicht klar, ob es zurzeit eine Behandlung gibt, welcher der Beschwerdeführer zugänglich wäre und mit welcher der sehr akuten Fortsetzungsgefahr begegnet werden könnte (s. dazu auch unten E. 2.3).</w:t>
      </w:r>
    </w:p>
    <w:p>
      <w:r>
        <w:t>Zusammenfassend ist mit der Vorinstanz der Haftgrund der Fortsetzungsgefahr zu bejahen.</w:t>
      </w:r>
    </w:p>
    <w:p>
      <w:r>
        <w:t>2.2.3Zum Haftgrund der Ausführungsgefahr (Art. 221 Abs. 2 StPO) kann, wie die Vorinstanz zutreffend erwogen hat, vor dem Vorliegen des aktuellen psychiatrischen Gutachtens nichts gesagt werden, so dass dieser Haftgrund zum jetzigen Zeitpunkt offen gelassen wird. Ohnehin genügt das Vorliegen eines einzelnen Haftgrundes für die Anordnung von Untersuchungshaft.</w:t>
      </w:r>
    </w:p>
    <w:p>
      <w:r>
        <w:t>2.3Betreffend die Frage der Verhältnismässigkeit der Haft ist festzuhalten, dass den Beschwerdeführer im Falle eines Schuldspruchs in Bezug auf die zur Anklage gelangenden Delikte eine Strafe oder allenfalls auch eine Massnahme erwartet, welche die bis zum 24. Oktober 2018 vorläufig verfügte Untersuchungshaft übersteigen wird. Ferner ist unter dem Aspekt der Verhältnismässigkeit auch der Tatsache Rechnung zu tragen, dass der Beschwerdeführer gegenüber beliebigen Dritten, deren Verhalten ihm aus irgendeinem Grund missfällt, ein aggressiv nötigendes, teilweise auch gewalttätiges Verhalten gezeigt hat, so dass ohne entsprechende Behandlung mit weiteren Opferschäden zu rechnen ist. Dies kann nicht hingenommen werden. Taugliche Ersatzmassnahmen sind zum heutigen Zeitpunkt keine ersichtlich, zumal sich der Beschuldigte bislang über Kontakt- und Annäherungsverbote sowie auch über Hausverbote regelmässig hinweggesetzt hat. Über weitere Ersatzmassnahmen kann, wie auch das Zwangsmassnahmengericht erwogen hat, vor Vorliegen des aktuellen Gutachtens nichts gesagt werden. Insbesondere kann in dieser Situation nicht davon ausgegangen werden, dass eine ambulante Therapie  wie der Beschwerdeführer geltend macht  eine taugliche Ersatzmassnahme darstellen würde (vgl. Beschwerde S. 13). Auch der Hinweis darauf, dass sich der Beschwerdeführer in Haft etwas antun könnte und deswegen zu entlassen sei, ist nicht zielführend (a.a.O.). Soweit diesbezüglich ernsthafte Befürchtungen bestehen, kann ein Gesuch um psychologische Betreuung des Beschwerdeführers während der Haft bei der Verfahrensleitung oder direkt bei der Gefängnisleitung gestellt werden.</w:t>
      </w:r>
    </w:p>
    <w:p>
      <w:r>
        <w:t>2.4Mit dem vorliegenden Entscheid ist das Gesuch um aufschiebende Wirkung der Beschwerde gegenstandslos.</w:t>
      </w:r>
    </w:p>
    <w:p>
      <w:r>
        <w:rPr>
          <w:b/>
        </w:rPr>
        <w:t>E. 3</w:t>
      </w:r>
    </w:p>
    <w:p>
      <w:r>
        <w:t>3.1Nach dem Gesagten erweist sich die Beschwerde als unbegründet, weshalb sie abzuweisen ist. Bei diesem Ausgang des Verfahrens hat der Beschwerdeführer dessen Kosten zu tragen (Art. 428 Abs. 1 StPO). Die Gebühr wird auf CHF 500. festgesetzt.</w:t>
      </w:r>
    </w:p>
    <w:p>
      <w:r>
        <w:t>3.2Dem Beschwerdeführer ist die amtliche Verteidigung mit Advokatin [...] zu bewilligen. Da diese mit der Replik die in Aussicht gestellte Honorarnote nicht eingereicht hat, ist der Aufwand praxisgemäss zu schätzen. Angemessen erscheint ein Honorar einschliesslich Auslagenersatz von CHF 850., zuzüglich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