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HB.2017.41 vom 15. November 2017</w:t>
      </w:r>
    </w:p>
    <w:p>
      <w:r>
        <w:t>BS Appellationsgericht, 2017-11-15, DE</w:t>
      </w:r>
    </w:p>
    <w:p>
      <w:r>
        <w:rPr>
          <w:b/>
        </w:rPr>
        <w:t xml:space="preserve">Quelle: </w:t>
      </w:r>
      <w:r>
        <w:t>https://mcp.opencaselaw.ch/entscheid/bs_appellationsgericht_HB.2017.41</w:t>
      </w:r>
    </w:p>
    <w:p>
      <w:r>
        <w:t>FR: BS_APPELLATIONSGERICHT HB.2017.41 du 15 novembre 2017</w:t>
      </w:r>
    </w:p>
    <w:p>
      <w:r>
        <w:t>IT: BS_APPELLATIONSGERICHT HB.2017.41 del 15 novembre 2017</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Bussen oder Geldstrafen. Zuständig für den Entscheid nach Art. 425 StPO ist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SB.2018.13 vom 10. September 2021 E. 1). Die Haftbeschwerde wurde durch das Appellationsgericht entschieden, weshalb zur Behandlung des Kostenerlassgesuchs die Einzelrichterin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w:t>
      </w:r>
    </w:p>
    <w:p>
      <w:r>
        <w:rPr>
          <w:b/>
        </w:rPr>
        <w:t>E. 3</w:t>
      </w:r>
    </w:p>
    <w:p>
      <w:r>
        <w:t>Auf die Erhebung einer Gerichtsgebühr ist zu verzichten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