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HB.2017.33 vom 9. Oktober 2017</w:t>
      </w:r>
    </w:p>
    <w:p>
      <w:r>
        <w:t>BS Appellationsgericht, 2017-10-09, DE</w:t>
      </w:r>
    </w:p>
    <w:p>
      <w:r>
        <w:rPr>
          <w:b/>
        </w:rPr>
        <w:t xml:space="preserve">Quelle: </w:t>
      </w:r>
      <w:r>
        <w:t>https://mcp.opencaselaw.ch/entscheid/bs_appellationsgericht_HB.2017.33</w:t>
      </w:r>
    </w:p>
    <w:p>
      <w:r>
        <w:t>FR: BS_APPELLATIONSGERICHT HB.2017.33 du 9 octobre 2017</w:t>
      </w:r>
    </w:p>
    <w:p>
      <w:r>
        <w:t>IT: BS_APPELLATIONSGERICHT HB.2017.33 del 9 ottobre 2017</w:t>
      </w:r>
    </w:p>
    <w:p>
      <w:pPr>
        <w:pStyle w:val="Heading2"/>
      </w:pPr>
      <w:r>
        <w:t>Erwägungen</w:t>
      </w:r>
    </w:p>
    <w:p>
      <w:r>
        <w:rPr>
          <w:b/>
        </w:rPr>
        <w:t>E. 1</w:t>
      </w:r>
    </w:p>
    <w:p>
      <w:r>
        <w:t>Die inhaftierte Person kann Entscheide des erstinstanzlichen Gerichts nach Art. 231 StPO über die Anordnung und Verlängerung der Sicherheitshaft mit Beschwerde anfechten (Art. 393 Abs. 1 lit. b in Verbindung mit Art. 222 StPO).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w:t>
      </w:r>
    </w:p>
    <w:p>
      <w:r>
        <w:rPr>
          <w:b/>
        </w:rPr>
        <w:t>E. 2</w:t>
      </w:r>
    </w:p>
    <w:p>
      <w:r>
        <w:t>2.1Gemäss Art. 231 Abs. 1 StPO kann eine verurteilte Person nach dem erstinstanzlichen Urteil in Sicherheitshaft gesetzt oder behalten werden, wenn dies zur Sicherung des Straf- oder Massnahmenvollzugs oder im Hinblick auf das Berufungsverfahren erforderlich ist. Die in Art. 231 Abs. 1 StPO genannten Kriterien bilden indessen keine selbständigen Haftgründe, sondern es müssen auch bei Entscheiden gestützt auf Art. 231 StPO die Haftgründe von Art. 221 StPO erfüllt sein (Forster, in: Basler Kommentar zur Schweizerischen Strafprozessordnung, 2. Auflage 2014, Art. 231 StPO N 4; AGE HB.2015.50 vom 18. November 2015).</w:t>
      </w:r>
    </w:p>
    <w:p>
      <w:r>
        <w:t>2.2Die Anordnung oder Verlängerung der Sicherheitshaft ist gemäss Art. 221 StPO zulässig, wenn die beschuldigte Person eines Verbrechens oder Vergehens dringend verdächtig ist und zudem Flucht-, Kollusions- oder Wiederholungsgefahr besteht (Abs. 1), oder wenn ernsthaft zu befürchten ist, eine Person werde ihre Drohung, ein schweres Verbrechen auszuführen, wahrmachen (Abs. 2).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in aller Regel eine Erhärtung und Verdichtung von anfänglich vielleicht noch eher vagen Verdachtsmomenten verbunden ist (vgl. statt vieler AGE HB.2015.43 vom 8. Oktober 2015; Urteil BGer 1B_234/2011 vom 30. Mai 2011 E. 3.2 mit Hinweis auf BGer 1P.72/2002 vom 27. Februar 2002 E. 2.3;Hug/Scheidegger, in: Donatsch/Hansjakob/Lieber [Hrsg.], Kommentar zur Schweizerischen Strafprozessordnung, 2. Auflage 2014, Art. 221 N 6). Eine Ausnahme ist nur dann zu machen, wenn die beschuldigte Person im Haftprüfungs- oder Haftbeschwerdeverfahren darzutun vermag, dass die Annahme eines dringenden Tatverdachts geradezu unhaltbar ist. Diese Rechtsprechung muss erst recht bei Vorliegen eines erstinstanzlichen Urteils, gegen das die verurteilte inhaftierte Person ein Rechtsmittel eingelegt hat, gelten (AGE HB.2016.50 vom 11. Oktober 2016).</w:t>
      </w:r>
    </w:p>
    <w:p>
      <w:r>
        <w:t>3.2Der Beschwerdeführer macht geltend, entgegen den beiden Mitangeklagten [...] habe er durch die Videoaufnahmen nicht überführt werden können. Innerhalb der Phase von rund 6 Sekunden, welche nicht aufgezeichnet worden sei, gebe es einen Zeitraum von höchstens 3 Sekunden, während welchem sich der Raufhandel fortgesetzt habe. Dazu bestünden widersprüchliche Zeugenaussagen. Drei Zeugen hätten von drei Tätern gesprochen und ihn damit belastet. Zwei dieser drei Zeugen hätten sich jedoch deutlich entfernt vom Tatgeschehen befunden und alle drei Zeugen seien alkoholisiert gewesen. Mit diesen Einwendungen gelingt es dem Beschwerdeführer nicht, die Annahme eines dringenden Tatverdachts als geradezu unhaltbar erscheinen zu lassen. Vielmehr gesteht er selbst zu, von immerhin drei Zeugen belastet zu werden. Damit, wie überzeugend deren Aussagen sind, wird sich das Berufungsgericht auseinanderzusetzen haben; es ist nicht Sache des Haftgerichts, eine umfassende Beweiswürdigung vorzunehmen. Was den behaupteten Verfahrensmangel (Nichtbefragung eines angeblichen Entlastungszeugen) betrifft, der nach Meinung des Beschwerdeführers zu einer Ergänzung des Beweisverfahrens und Wiederholung des Prozesses vor einem unbefangenen Gericht führen wird, so hat nach der Rechtsprechung des Bundesgerichts das Gericht nur solche Beweisbegehren, Zeugenladungen und Fragen zu berücksichtigen und zuzulassen, die nach seiner Würdigung rechts- und entscheiderheblich sind. Über Tatsachen, die unerheblich, offenkundig, der Strafbehörde bekannt oder bereits rechtsgenügend erwiesen sind, wird nicht Beweis geführt (Art. 139 Abs. 2 StPO). Der Anspruch auf rechtliches Gehör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BGer 6B_542/2016 vom 5. Mai 2017 E. 3.3 mit weiteren Hinweisen). Da die Prüfung, ob die Vorinstanz auf die Ladung des angeblichen Entlastungszeugen hat verzichten können, eine umfassende Beweiswürdigung erfordert, obliegt auch diese dem Berufungsgericht und nicht dem Haftgericht. Nach dem Gesagten ist festzuhalten, dass am Vorliegen eines dringenden Tatverdachts keine Zweifel bestehen.</w:t>
      </w:r>
    </w:p>
    <w:p>
      <w:r>
        <w:rPr>
          <w:b/>
        </w:rPr>
        <w:t>E. 4</w:t>
      </w:r>
    </w:p>
    <w:p>
      <w:r>
        <w:t>4.1Der Beschwerdeführer macht keine Ausführungen zur Wiederholungsgefahr, welche die Vorinstanz  im Übrigen zu Recht (vgl. dazu auch den Entscheid des Appellationsgerichts zum Haftentlassungsgesuch des Beschwerdeführers, HB.2017.11 vom 23. März 2017, sowie das diesen Entscheid bestätigende Urteil des Bundesgerichts BGer 1B_167/2017 vom 19. Mai 2017) - angenommen hat. Er erachtet eine Verlängerung der Sicherheitshaft jedoch als unverhältnismässig. Am 24. September 2017 habe er zwei Drittel der im neuen Verfahren wegen Raufhandel ausgesprochenen, noch nicht rechtskräftigen Strafe von 12 Monaten Freiheitsstrafe verbüsst und könnte entlassen werden, wenn er im Strafvollzug wäre. Zu seinen Gunsten sei davon auszugehen, dass das Berufungsgericht anders als das Strafdreiergericht die Vorstrafe von 5 Monaten Freiheitsstrafe nicht widerrufen werde. Abgesehen von anderen Gründen habe er sich zwischen der letzten, der Verurteilung des Jugendgerichts vom 28. April 2016 zugrundeliegenden Tat und dem aktuell zu beurteilenden Raufhandel während fast drei Jahren nichts zu Schulde kommen lassen und sich folglich bewährt. Selbst wenn man vom Widerruf des bedingten Vollzugs der Jugendstrafe ausginge, könne eine bedingte Entlassung aus dem Strafvollzug per 26. Oktober 2017 stattfinden. Die Anordnung von Sicherheitshaft über diesen Termin hinaus erscheine deshalb wenig sinnvoll. Ohnehin schreibe Art. 86 Abs. 2 StGB der zuständigen Behörde vor, eine bedingte Entlassung von Amtes wegen zu prüfen. Die Verfügung von Sicherheitshaft bis zum 26. Oktober 2017 wäre damit ausreichend gewesen.</w:t>
      </w:r>
    </w:p>
    <w:p>
      <w:r>
        <w:t>4.2Nach Art. 212 Abs. 3 StPO dürfen Untersuchungs- und Sicherheitshaft nicht länger dauern als die zu erwartende Freiheitsstrafe. Die Möglichkeit der bedingten Entlassung aus dem Strafvollzug gemäss Art. 86 StGB ist bei der Berechnung der mutmasslichen Dauer der Freiheitsstrafe grundsätzlich ausser Acht zu lassen, es sei denn, die konkreten Umstände des Falles würden eine Berücksichtigung ausnahmsweise gebieten. Ein Ausnahmefall kann insbesondere dann vorliegen, wenn die Voraussetzungen von Art. 86 Abs. 1 StGB aufgrund der konkreten Umstände aller Wahrscheinlichkeit nach erfüllt sein werden (BGer 1B_23/2014 vom 31. Januar 2014 E. 2.2 mit Hinweisen). Dies setzt jedoch einerseits voraus, dass die Strafe im Berufungsverfahren nur noch verkürzt, nicht aber erhöht werden kann (BGer 1B_283/2015 vom 16. September 2015, E. 3.2). Vorliegend ist noch offen, ob die Staatsanwaltschaft, die vor erster Instanz eine (unbedingte) Freiheitsstrafe von 21 Monaten sowie den Widerruf der Vorstrafe verlangt hatte, Anschlussberufung erheben und eine höhere Strafe beantragen wird. Zumindest vorerst lässt sich der voraussichtliche Zeitpunkt einer möglichen Entlassung nach zwei Dritteln der Strafe demnach nicht berechnen. Festzuhalten ist in diesem Zusammenhang auch, dass die Argumente, die der Beschwerdeführer für einen Verzicht auf den Widerruf der Vorstrafe vorbringt, nicht überzeugen. Zwischen den beiden Vorfällen liegen nur zwei Jahre und 5 Monate und nicht fast drei Jahre. Beim ihm nunmehr vorgeworfenen, noch nicht rechtskräftig beurteilten Raufhandel ist er bereits volljährig gewesen, weshalb von einer Jugendsünde nicht mehr die Rede sein kann. Bereits im Entscheid des Appellationsgerichts vom 23. März 2017 betreffend sein Haftentlassungsgesuch ist ihm eine miserable Rückfallprognose gestellt worden, was das Bundesgericht bestätigt hat (BGer 1B_167/2017 vom 19. Mai 2017). Daran ändert der Hinweis, dass der Beschwerdeführer nun im Rahmen der strukturierten Haft mit wenig Ablenkungsmöglichkeiten, dafür umso mehr Kontrolle, zeitig aufzustehen und zu arbeiten vermag, nichts. Immerhin haben in der Vergangenheit auch 65 Tage Haft keine präventive Wirkung entfalten können. Für die Berechnung der möglichen bedingten Entlassung nach zwei Dritteln der Strafe ist deshalb der Widerruf der Vorstrafe von 5 Monaten Freiheitsstrafe mit einzubeziehen. Mit Blick auf die schlechte Rückfallprognose ist ferner ohnehin fraglich, ob sämtliche Bedingungen für eine bedingte Entlassung gemäss Art. 86 Abs. 1 StGB vorliegen würden. Auf jeden Fall müssten die in der E-Mail vom 21. September 2017 durch den Bewährungshelfer [...] erwähnten Angebote (betreutes Wohnsetting, Tagesstruktur mit dem Ziel einer mittelfristigen beruflichen Eingliederung) organisiert sein, um eine bedingte Entlassung anordnen zu können. Wie auch der Präsident des Strafdreiergerichts in seiner Vernehmlassung betont, steht es dem Beschwerdeführer frei, im gegebenen Zeitpunkt einen Antrag auf Haftentlassung zu stellen. Für die vorliegend zu beurteilende Verlängerung der Sicherheitshaft auf die vorläufige Dauer von 12 Wochen ist hingegen die Möglichkeit der bedingten Entlassung nach zwei Dritteln der Strafe nicht zu berücksichtigen. Es kann deshalb nicht gesagt werden, dass die bis zum Ende der angeordneten Haftverlängerung ausgestandene Haft bereits in grosse Nähe der zu erwartende Freiheitsstrafe rückt (Art. 212 Abs. 3 StPO) und damit nicht mehr verhältnismässig wäre.</w:t>
      </w:r>
    </w:p>
    <w:p>
      <w:r>
        <w:rPr>
          <w:b/>
        </w:rPr>
        <w:t>E. 5</w:t>
      </w:r>
    </w:p>
    <w:p>
      <w:r>
        <w:t>Nach dem Gesagten ist die Beschwerde als unbegründet abzuweisen. Bei diesem Ausgang des Verfahrens hat der Beschwerdeführer die ordentlichen Kosten mit einer Gebühr von CHF 500. zu tragen. Der amtliche Verteidiger ist für seine Bemühungen aus der Gerichtskasse zu entschädigen. Er macht einen Aufwand von 6 ½ Stunden sowie Auslagen von CHF 15. geltend, wobei diese Leistungen nicht der Mehrwertsteuer unterlägen. Es ist ihm somit ein Honorar von CHF 1300. zuzüglich CHF 15. zuzusprechen.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