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HB.2017.27 vom 18. Juli 2017</w:t>
      </w:r>
    </w:p>
    <w:p>
      <w:r>
        <w:t>BS Appellationsgericht, 2017-07-18, DE</w:t>
      </w:r>
    </w:p>
    <w:p>
      <w:r>
        <w:rPr>
          <w:b/>
        </w:rPr>
        <w:t xml:space="preserve">Quelle: </w:t>
      </w:r>
      <w:r>
        <w:t>https://mcp.opencaselaw.ch/entscheid/bs_appellationsgericht_HB.2017.27</w:t>
      </w:r>
    </w:p>
    <w:p>
      <w:r>
        <w:t>FR: BS_APPELLATIONSGERICHT HB.2017.27 du 18 juillet 2017</w:t>
      </w:r>
    </w:p>
    <w:p>
      <w:r>
        <w:t>IT: BS_APPELLATIONSGERICHT HB.2017.27 del 18 luglio 2017</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 Die vorliegende Beschwerde ist form- und fristgerecht eingereicht worden, so dass darauf einzutreten ist.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eines dringenden Tatverdachts ist erforderlich, dass aufgrund von genügend konkreten Tatsachen oder Informationen im Lichte aller Umstände objektiv darauf zu schliessen ist, der Betroffene habe das fragliche Verbrechen oder Vergehen begangen, ohne dass der der Sachverhalt bereits vollständig abgeklärt sein muss. Beim Vorliegen der Anklageschrift gilt nach der Rechtsprechung die Voraussetzung des dringenden Tatverdachts vermutungsweise als erfüllt (vgl. BGer 1B_234/2011, 1P.72/2002 E. 2.3; AGE HB.2017.20 vom 7. Juni 2017 E. 3.1). Das ist vorliegend der Fall und wird vom Beschwerdeführer auch nicht bestritten. Die Vor­instanz hat somit den dringenden Tatverdacht zu Recht bejaht.</w:t>
      </w:r>
    </w:p>
    <w:p>
      <w:r>
        <w:rPr>
          <w:b/>
        </w:rPr>
        <w:t>E. 4</w:t>
      </w:r>
    </w:p>
    <w:p>
      <w:r>
        <w:t>Als speziellen Haftgrund hat die Vorinstanz Fluchtgefahr angenommen. Auch diese wird in der Beschwerde zu Recht nicht bestritten und ist zu bejahen, zumal der Beschwerdeführer  ein niederländischer Staatsangehöriger mit Wohnsitz in Frankreich  bereits im Lauf des Vorverfahrens mehrfach zur Festnahme ausgeschrieben werden musste und überdies am 5. September 2016 aus einer Kontrolle der Grenzwache nach Frankreich geflohen war.</w:t>
      </w:r>
    </w:p>
    <w:p>
      <w:r>
        <w:rPr>
          <w:b/>
        </w:rPr>
        <w:t>E. 5</w:t>
      </w:r>
    </w:p>
    <w:p>
      <w:r>
        <w:t>5.1Der Beschwerdeführer macht einzig geltend, die Aufrechterhaltung der Haft sei nicht verhältnismässig, da die Staatsanwaltschaft lediglich eine Haft von 8 Monaten bedingt beantrage und aufgrund der konkreten Umstände nicht zu erwarten sei, dass das Strafgericht den bedingten Vollzug verweigere, so dass der Beschwerdeführer spätestens in der Hauptverhandlung auf freien Fuss gesetzt werden müsse. Die Haftdauer hänge daher einzig vom Zeitpunkt der Hauptverhandlung ab, was das Grundrecht der persönlichen Freiheit verletze.</w:t>
      </w:r>
    </w:p>
    <w:p>
      <w:r>
        <w:t>5.2Unter dem Titel der Verhältnismässigkeit ist eine Abwägung zwischen den Interessen der Beschuldigten an der Wiedererlangung seiner Freiheit und den entgegenstehenden Interessen des Staates an der Gewährleistung der öffentlichen Sicherheit und Ordnung sowie an einer wirksamen Verfolgung seines Strafanspruchs vorzunehmen. 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Die Haft darf nur so lange erstreckt werden, als sie nicht in grosse zeitliche Nähe der (im Falle einer rechtskräftigen Verurteilung) konkret zu erwartenden Dauer der freiheitsentziehenden Sanktion rückt (Art. 212 Abs. 3 StPO). Nach Lehre und Rechtsprechung spielt es für die Beurteilung der Verhältnismässigkeit grundsätzlich keine Rolle, dass für die in Aussicht stehende Freiheitsstrafe gegebenenfalls der bedingte oder teilbedingte Vollzug gewährt werden kann (Albertini/Armbruster, in: Basler Kommentar StPO, 2. Auflage 2014, Art. 212 N 12 ff.; BGE 133 I 270 E. 3.4.2 E. 282). Auch die Möglichkeit der bedingten Entlassung aus dem Strafvollzug nach Art. 86 StGB ist bei der Berechnung der mutmasslichen Dauer der Freiheitsstrafe grundsätzlich ausser Acht zu lassen, es sei denn, die konkreten Umstände des Falles würden eine Berücksichtigung ausnahmsweise gebieten. Ein Ausnahmefall kann insbesondere dann vorliegen, wenn die Voraussetzungen von Art. 86 Abs. 1 StGB aufgrund der konkreten Umstände aller Wahrscheinlichkeit nach erfüllt sein werden (BGer 1B_280/2008 vom 6. November 2008 E. 2.5.2 m.w.H.).</w:t>
      </w:r>
    </w:p>
    <w:p>
      <w:r>
        <w:t>5.3Der Beschwerdeführer befindet sich seit dem 5. Mai 2017 in Haft. Im Zeitpunkt der Hauptverhandlung vom 17. August 2017 wird er somit rund 3½ Monate Haft verbüsst haben. Der Strafantrag der Staatsanwaltschaft lautet entgegen den Ausführungen in der Beschwerde nicht auf Haft von 8 Monaten bedingt, sondern auf 10 Monate Freiheitsstrafe, 20 Tagessätze Geldstrafe, beides bedingt vollziehbar mit einer Probezeit von 3 Jahren, sowie CHF 300. Busse (im Falle schuldhafter Nichtbezahlung 3 Tage Ersatzfreiheitsstrafe) (Akten S. 522). Auch wenn dem Strafurteil nicht vorzugreifen ist, ist doch festzustellen, dass der Antrag der Staatsanwaltschaft jedenfalls nicht als offensichtlich übersetzt zu bezeichnen ist, so dass mit einem Urteil in dieser Grössenordnung zu rechnen ist. Damit wird die Haftdauer im Zeitpunkt der Hauptverhandlung noch bei Weitem nicht in grosse zeitliche Nähe der zu erwartenden Strafe  wozu nach der Rechtsprechung auch die Geldstrafe zu rechnen ist, bei welcher gemäss Art. 36 Abs. 1 StGB ein Tagessatz einem Tag Freiheitsstrafe entspricht (BGer 1B_78/2009 vom 1. April 2009 E. 3.3)  gerückt sein, selbst wenn man die Möglichkeit der bedingten Entlassung nach zwei Dritteln der Freiheitsstrafe berücksichtigt. Die Möglichkeit des bedingten Strafvollzugs ist wie erwähnt ausser Acht zu lassen. Das rechtfertigt sich deshalb, weil die Sicherheitshaft nicht einfach ein vorweggenommener Strafvollzug ist, sondern ihr Zweck  beim hier vorliegenden Haftgrund der Fluchtgefahr  darin besteht, die Anwesenheit des Beschuldigten im Strafverfahren zu sichern (BGer 1B_217/2014 vom 9. Juli 2014 E. 2.2). Damit ist die Verhältnismässigkeit der angeordneten Sicherheitshaft zu bejahen.</w:t>
      </w:r>
    </w:p>
    <w:p>
      <w:r>
        <w:rPr>
          <w:b/>
        </w:rPr>
        <w:t>E. 6</w:t>
      </w:r>
    </w:p>
    <w:p>
      <w:r>
        <w:t>6.1Aus dem Gesagten ergibt sich, dass die Beschwerde abzuweisen ist. Bei diesem Ausgang des Verfahrens sind dem Beschwerdeführer dessen Kosten mit einer Gebühr von CHF 500. aufzuerlegen (Art. 428 Abs. 1 StPO).</w:t>
      </w:r>
    </w:p>
    <w:p>
      <w:r>
        <w:t>6.2Dem amtlichen Verteidiger ist für seine Bemühungen aus der Gerichtskasse ein angemessenes Honorar auszurichten. Mangels Vorliegens einer Kostennote ist sein Aufwand zu schätzen, wobei vier Stunden angemessen erscheinen, welche zum üblichen Stundenansatz von CHF 200. entschädigt werden (einschliesslich Auslagen, zuzüglich MWST). Der Beschwerdeführer ist gemäss Art. 135 Abs. 4 StPO indessen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