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HB.2017.20 vom 27. Januar 2017</w:t>
      </w:r>
    </w:p>
    <w:p>
      <w:r>
        <w:t>BS Appellationsgericht, 2017-01-27, DE</w:t>
      </w:r>
    </w:p>
    <w:p>
      <w:r>
        <w:rPr>
          <w:b/>
        </w:rPr>
        <w:t xml:space="preserve">Quelle: </w:t>
      </w:r>
      <w:r>
        <w:t>https://mcp.opencaselaw.ch/entscheid/bs_appellationsgericht_HB.2017.20</w:t>
      </w:r>
    </w:p>
    <w:p>
      <w:r>
        <w:t>FR: BS_APPELLATIONSGERICHT HB.2017.20 du 27 janvier 2017</w:t>
      </w:r>
    </w:p>
    <w:p>
      <w:r>
        <w:t>IT: BS_APPELLATIONSGERICHT HB.2017.20 del 27 gennaio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BGer 1B_234/2011, 1P.72/2002 E. 2.3; AGE HB.2016.27 vom 2. Juni 2016 E. 3.1).</w:t>
      </w:r>
    </w:p>
    <w:p>
      <w:r>
        <w:rPr>
          <w:b/>
        </w:rPr>
        <w:t>E. 3.2</w:t>
      </w:r>
    </w:p>
    <w:p>
      <w:r>
        <w:t>3.2.1Der Beschwerdeführer macht in Bezug auf den Vorfall vom 14. Januar 2017 unter Berufung auf die Videoaufnahmen einer Überwachungskamera und die Aussagen des Zeugen B____ geltend, Ziff. 10 der Anklageschrift sei insofern unhaltbar, als ihm vorgeworfen werde, er habe C____ mit dem Fuss ins Gesicht gekickt. Es könne ihm daher bezüglich dieses Vorfalls keine versuchte schwere Körperverletzung, sondern bloss Angriff und einfache Körperverletzung, vorgeworfen werden. Wie vorstehend ausgeführt wurde und auch die Vorinstanz zutreffend erwogen hat, ist im Haft(beschwerde)verfahren keine eigene eingehende Beweiswürdigung vorzunehmen, sondern bleibt diese dem Sachgericht überlassen. Wie die verschiedenen Zeugenaussagen zum fraglichen Vorfall zu werten sind und was sich aus der Videoaufnahme ergibt, wird das Strafgericht zu entscheiden haben. Angesichts des Umstands, dass neben der geltend gemachten, angeblich (teilweise) entlastenden Zeugenaussage von B____ bezüglich des in der Anklageschrift geschilderten Sachverhalts, auch hinsichtlich der Fusstritte des Beschwerdeführers, diverse diesen belastende Zeugenaussagen ([...], Akten S. 1991, 2181 ff.; [...], Akten S. 2039 f., 2164 ff.: [...], Akten S. 2096 f.; [...], Akten S. 2112 f.) vorhanden sind und sich zudem aus der Videoaufnahme ergibt, dass der Beschwerdeführer die Schlägerei begonnen hat, indem er C____ gestossen und ihm dann unvermittelt mit der Faust an den Kopf geschlagen hat (Akten S. 2003), ist die Sachverhaltsschilderung in Ziff. 10 der Anklageschrift jedenfalls keineswegs als unhaltbar zu bezeichnen. Auch die rechtlichen Fragen, ob die Tatbeiträge von [...] dem Beschwerdeführer im Rahmen der Mittäterschaft anzurechnen sind und welche Straftatbestände seine Tat erfüllt, werden vom Strafgericht zu entscheiden sein.</w:t>
      </w:r>
    </w:p>
    <w:p>
      <w:r>
        <w:t>3.2.2Im weiteren legt der Beschwerdeführer Wert auf die Feststellung, dass die im Beschwerdeentscheid des Appellationsgerichts vom 10. März 2017 aufgrund der damaligen Aktenlage noch angeführte Anschuldigung, dass der Beschwerdeführer am 11. Dezember 2015 mit einer Flasche auf den Kopf von D____ eingeschlagen habe, nicht Eingang in die Anklageschrift gefunden habe. Dies trifft zwar zu, doch wird dem Beschwerdeführer in Ziff. 7 der Anklageschrift auch ohne dieses Detail ein gewalttätiger Angriff (räuberische Erpressung) gegen D____ vorgeworfen. Er soll von D____  als Entschädigung für eine angebliche Beschädigung von Schuhen der Freundin des Beschwerdeführers  Geld verlangt und ihm, als dieser nicht darauf einging, unvermittelt mindestens zwei Faustschläge ins Gesicht versetzt haben, davon einen aufs Auge. Inwiefern dies nicht für eine grosse Gewaltbereitschaft des Beschwerdeführers sprechen soll, ist nicht ersichtlich.</w:t>
      </w:r>
    </w:p>
    <w:p>
      <w:r>
        <w:rPr>
          <w:b/>
        </w:rPr>
        <w:t>E. 4</w:t>
      </w:r>
    </w:p>
    <w:p>
      <w:r>
        <w:t>4.1Die Vorinstanz hat den Haftgrund der Fortsetzungsgefahr gemäss Art. 221 Abs. 1 lit. c StPO bejaht. Der Beschwerdeführer macht geltend, dass an diesen Haftgrund ein strenger Massstab anzulegen und er bei ihm nicht erfüllt sei. So fehle es bereits am Vorliegen einer schweren Vortat. Ausserdem könnten ihm entgegen dem Entscheid des Appellationsgerichts vom 10. März 2017 keine wiederholten sinnlosen Körperverletzungsdelikte vorgeworfen werden, und er zeige entgegen diesem Entscheid nicht das Bild eines jungen Menschen von erschreckender Gewaltbereitschaft, welcher beim kleinsten Anlass hemmungslos zuschlägt und droht. Es liege auch deshalb keine besonders ungünstige Rückfallprognose vor, weil die jetzige Untersuchungshaft von rund vier Monaten bei ihm einen bleibenden Eindruck hinterlassen habe. So führe er regelmässig Gespräche mit der Bewährungshilfe bzw. dem Sozialdienst des Untersuchungsgefängnisses, insbesondere zwecks Vorbereitung der Zeit nach der Haft. Er habe auch die Zusicherung einer Gerüstbaufirma bezüglich einer Arbeitsbeschäftigung nach der Haft. Überdies wolle er nach seiner Entlassung die psychiatrische Betreuung und Behandlung beim Facharzt für Psychiatrie und Psychotherapie [...] wieder aufnehmen und habe diesen diesbezüglich bereits angeschrieben. Es könnten ihm auch entsprechende Auflagen gemacht werden. Er sei motiviert, seinem Leben eine andere Richtung zu geben, und es sei ihm eine Chance zu geben, hierfür bis zur Gerichtsverhandlung den Tatbeweis zu erbringen.</w:t>
      </w:r>
    </w:p>
    <w:p>
      <w:r>
        <w:t>4.2Das Appellationsgericht hat bereits in seinem Entscheid vom 10. März 2017 ausführlich dargelegt, welches die Voraussetzungen des Haftgrundes der Fortsetzungsgefahr sind und warum es damals der Ansicht war, dass diese Voraussetzungen beim Beschwerdeführer erfüllt sind. Auf diese Ausführungen ist zu verweisen (AGE HB.2017.8 vom 10. März 2017 E. 3). Bereits damals hatte der Beschwerdeführer das Vorliegen einer schweren Vortat bestritten. Hierzu hat das Appellationsgericht ausgeführt, dass die Tat, derentwegen der Beschwerdeführer mit Strafbefehl vom 9. Dezember 2013 nach Jugendstrafrecht zu 60 Stunden Arbeitsleistung verurteilt worden war  der Beschwerdeführer hatte aus nichtigem Anlass einem andern Jugendlichen einen Faustschlag und einen Kopfstoss ins Gesicht sowie einen Kick in den Bauch versetzt und ihn später durch Drohungen zum Rückzug der erstatteten Anzeige zu bewegen versucht , sowohl bei abstrakter als auch bei konkreter Betrachtung durchaus ein schweres Vergehen i.S.v. Art. 221 Abs. 1 lit. c StPO darstelle (AGE HB.2017.8 vom 10. März 2017 E. 3.3). Daran ist festzuhalten. Ausserdem kann sich, wie damals dargelegt, die vom Gesetz verlangte schwere Vortat nicht nur aus einem rechtskräftig abgeschlossenen früheren Strafverfahren, sondern auch aus einem noch hängigen Verfahren ergeben, sofern diese mit ausreichender Sicherheit erstellt sind. In der Anklageschrift sind sechs fremdaggressive Vergehen aufgeführt, durch welche der Beschwerdeführer die Sicherheit anderer erheblich bedroht oder gefährdet haben soll (AS Ziff. 2, 4, 5, 7, 9, 10), wobei die Beweislage grösstenteils erdrückend ist. Besonders zu erwähnen ist  neben dem bereits erwähnten Vorfall vom 14. Januar 2017 und der räuberischen Erpressung zum Nachteil von D____  Ziff.</w:t>
      </w:r>
    </w:p>
    <w:p>
      <w:r>
        <w:rPr>
          <w:b/>
        </w:rPr>
        <w:t>E. 5</w:t>
      </w:r>
    </w:p>
    <w:p>
      <w:r>
        <w:t>5.1Im Rahmen der Verhältnismässigkeitsprüfung ist zunächst zu fragen, ob die bestehende Fortsetzungsgefahr durch mildere Ersatzmassnahmen abgewendet werden kann. Der Verteidiger erachtet hierfür die Auflage, sich nach der Haftentlassung in psychiatrische/psychologische Behandlung zu begeben, als geeignet. Dem kann nicht gefolgt werden, zumal wie erwähnt schon in der Vergangenheit eine psychiatrisch-psychologische Begleitung weitere Delinquenz des Beschwerdeführers nicht zu verhindern vermocht hat.</w:t>
      </w:r>
    </w:p>
    <w:p>
      <w:r>
        <w:t>5.2Auch in zeitlicher Hinsicht erweist sich die angeordnete Sicherheitshaft noch als verhältnismässig. Bei deren Ablauf am 3. August 2017 wird die Haft gut sechs Monate gedauert haben. Damit ist sie noch weit entfernt von der bei einer Verurteilung zu erwartenden Strafe.</w:t>
      </w:r>
    </w:p>
    <w:p>
      <w:r>
        <w:rPr>
          <w:b/>
        </w:rPr>
        <w:t>E. 6</w:t>
      </w:r>
    </w:p>
    <w:p>
      <w:r>
        <w:t>6.1Aus dem Gesagten ergibt sich, dass die Beschwerde abzuweisen ist. Bei diesem Ausgang des Verfahrens sind dem Beschwerdeführer dessen Kosten mit einer Gebühr von CHF 500. aufzuerlegen (Art. 428 Abs. 1 StPO).</w:t>
      </w:r>
    </w:p>
    <w:p>
      <w:r>
        <w:t>6.2Dem amtlichen Verteidiger ist für seine Bemühungen aus der Gerichtskasse ein angemessenes Honorar auszurichten. Mangels Vorliegens einer Kostennote ist sein Aufwand zu schätzen, wobei sechs Stunden angemessen erscheinen, welche zum üblichen Stundenansatz von CHF 200. entschädigt werden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