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HB.2017.10 vom 20. März 2017</w:t>
      </w:r>
    </w:p>
    <w:p>
      <w:r>
        <w:t>BS Appellationsgericht, 2017-03-20, DE</w:t>
      </w:r>
    </w:p>
    <w:p>
      <w:r>
        <w:rPr>
          <w:b/>
        </w:rPr>
        <w:t xml:space="preserve">Quelle: </w:t>
      </w:r>
      <w:r>
        <w:t>https://mcp.opencaselaw.ch/entscheid/bs_appellationsgericht_HB.2017.10</w:t>
      </w:r>
    </w:p>
    <w:p>
      <w:r>
        <w:t>FR: BS_APPELLATIONSGERICHT HB.2017.10 du 20 mars 2017</w:t>
      </w:r>
    </w:p>
    <w:p>
      <w:r>
        <w:t>IT: BS_APPELLATIONSGERICHT HB.2017.10 del 20 marzo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t>2.2Beim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HB.2016.61 vom 21. November 2016 E. 3.1, HB.2016.27 vom 2. Juni 2016 E. 3; vgl. auchHug/Scheidegger,in: Donatsch et al. [Hrsg.] Kommentar zur Schweizerischen Strafprozessordnung, 2. Auflage 2014, Art. 197 N 14 m.w.H.). Dies trifft auch auf die vorliegende Konstellation zu.</w:t>
      </w:r>
    </w:p>
    <w:p>
      <w:r>
        <w:rPr>
          <w:b/>
        </w:rPr>
        <w:t>E. 3</w:t>
      </w:r>
    </w:p>
    <w:p>
      <w:r>
        <w:t>Dem Beschuldigten wird vorgeworfen, im Zeitraum zwischen dem 15. Dezember 2015 bis zu seiner Verhaftung am 9. August 2016 die Weibel des Zivilgerichts Basel-Stadt B____ und [...], unter anderem unter Verwendung der von ihm eingerichteten E-Mail-Accounts schweinehund.dreck-schwein@gmail.com und dreckschwein.schweinehund@gmail.com, beschimpft und bedroht zu haben. Allein zwischen dem 21. Dezember 2015 und dem 6. Februar 2016 soll er den beiden Zivilgerichtsweibeln, die er für den Verlust von Gegenständen im Zusammenhang mit der Räumung seiner Wohnung verantwortlich machte (unter anderem Pflanzen, Flüssigkeiten und verderbliche Waren), 47 E-Mails mit Beschimpfungen geschickt haben (Arschloch, Kotzkübel, Vollidiot, Bastard etc.). Mutmasslich um seinem Anliegen, wonach ihn die Gerichtsweibel für den Verlust zu entschädigen hätten, Nachdruck zu verleihen, hängte er laut Anklageschrift den Beschimpfungen Drohungen an, wie etwa: [...] Du solltest künftig schon von Sicherheit von deiner Lebens eine grossen Sorgen bzw. Angst haben (24. Juli 2016). Bereits am 9. Dezember 2015 soll er den Gerichtsweibel B____ telefonisch zur Aushändigung von Gegenständen aufgefordert und ihm beschieden haben, er habe ein Messer in den Rücken verdient. Am 3. Februar 2016 soll er den Zivilgerichtsweibel [...] an dessen Wohnort aufgesucht und beschimpft haben. Ungeachtet einer von diesem am 4. Februar 2016 erwirkten amtlichen Fernhalteverfügung soll er [] und dessen Ehefrau auch in der Folge durch eigenhändig eingeworfene Briefe, Emails und über den eingerichteten Facebook-Account auf den Namen [...] beschimpft haben und damit mehrfach gegen die amtliche Fernhalteverfügung verstossen sowie den Inhaber des Facebook Accounts [...] verleumdet haben.</w:t>
      </w:r>
    </w:p>
    <w:p>
      <w:r>
        <w:t>Weiter soll er die Angestellte der Liegenschaftsverwaltung, welche ihm die Kündigung der Mietwohnung ausgesprochen hatte, [...] von dem von ihm eingerichteten E-Mail-Account [...] im Zeitraum vom 13. Dezember 2015 bis 18. März 2016 beschimpft haben. Beschimpfungen gegen die Angestellte erfolgten laut Anklageschrift auch derart, dass er in der zu räumenden Liegenschaft Spiegel und Wände mit Beschimpfungen verschmiert hat ([...] Du Drecksschwein, Nutte, Aaskrähe etc.). Weiter soll er durch Missbrauch einer Fernmeldeanlage die vorgenannten Personen auch telefonisch belästigt haben, indem er etwa zwischen dem 17. Juni 2016 und dem Tag seiner Verhaftung 270-mal die Geschäftsnummer von [...] gewählt hat, womit er zugleich wiederum die amtliche Fernhalteverfügung missachtet hat.</w:t>
      </w:r>
    </w:p>
    <w:p>
      <w:r>
        <w:t>3.1Die Vorinstanz hat den besonderen Haftgrund der Wiederholungs- bzw. Fortsetzungsgefahr als gegeben erachtet. Dieser Haftgrund setzt nach Art. 221 Abs. 1 lit. c StPO voraus, dass die beschuldigte Person durch schwere Delikte die Sicherheit anderer erheblich gefährdet, nachdem sie bereits früher gleichartige Straftaten verübt hat (Art. 221 Abs. 1 lit. c StPO; BGE 137 IV 84 E. 3.2 S. 85 f.). Die Sicherheit anderer im Sinne dieser Bestimmung kann nach bundesgerichtlicher Rechtsprechung nicht nur durch Delikte gegen die physische Integrität gefährdet werden, sondern auch durch Delikte, welche sich unmittelbar gegen die psychische Integrität der Opfer richten (BGer 1B_437/2016 vom 5. Dezember 2016 E. 2.1).Sinn und Zweck der Anordnung von Haft wegen Wiederholungsgefahr ist die Verhütung von Delikten sowie die Verfahrensbeschleunigung, indem verhindert wird,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Vergehen(BGer 1B_48/2015 vom 3. März 2015 E. 4.2, 1B_331/2013 vom 15. Oktober 2013 E. 3.1). Im Weiteren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a.a.O., Art. 221 StPO N 15, wonach die sehr grosse Wahrscheinlichkeit einer Verurteilung im konkreten Einzelfall als Nachweis schwerer Vordelinquenz genügen kann). Die Zahl der erforderlichen Vortaten steht insofern in einer gewissen Abhängigkeit zu deren Gewicht, als umso höhere Anforderungen an die Anzahl der Straftaten zu richten sind, je geringer deren Schwere ist (AGE HB.2016.12 vom 14. April 2016).</w:t>
      </w:r>
    </w:p>
    <w:p>
      <w:r>
        <w:t>Mit Hinblick auf diese Kriterien erweist sich die Annahme der Fortsetzungsgefahr durch die Vorinstanz vorliegend als rechtens. Der Beschuldigte leidet gemäss dem über ihn angefertigten psychiatrischen Gutachten unter einer tiefgreifenden Entwicklungsstörung aus dem autistischen Spektrum. Bleibt die Störung unbehandelt, besteht laut Gutachterin eine hohe Wahrscheinlichkeit, dass der Beschuldigte auch in Zukunft ähnliche Straftaten verüben würde (Akten S. 981, Gutachten S. 54 ff.). Unter anderem wird der Beschuldigte der mehrfachen Gewalt und Drohung gegen Behörden und Beamte bezichtigt, wofür eine hinreichend schwere Strafdrohung besteht (Art. 285 Ziff. 1 StGB: Prüfung der Ausweitung des Vorwurfs vom Versuch zum vollendeten Delikt Prot. HV vom 16. Februar 2016 S. 3). Das Sicherheitsgefühl der vom Beschuldigten angegangenen Personen ist zentral betroffen. Die mutmasslich unablässigen groben Beschimpfungen am Arbeits- oder Wohnort, denen sich die Betroffenen nicht entziehen können, bedeuten schon für sich eine erhebliche Beeinträchtigung im Alltag. Es kommt dazu, dass sich die Betroffenen nicht sicher sein können, ob die verbalen Ausfälle und Drohungen in physische Übergriffe umschlagen werden. Dass der Beschuldigte auch die physische Nähe eines Opfers gesucht haben soll, indem er einen Gerichtsweibel an dessen Wohnort aufgesucht haben soll, unterstreicht dies ebenso wie die Anspielung auf den Aufenthaltsort der Angestellten der Liegenschaftsverwaltung: [...] Du [], wo versteckst Du Dich heute? E-Mail vom 15. Dezember 2015, Akten S. 577). Die angeklagten Delikte richteten sich somit gegen die psychische Integrität der Opfer im Sinne des zitierten Bundesgerichtsentscheids. Die in jenem Entscheid thematisierte Restriktion für den Bereich reiner Vermögensdelikte ist hingegen nicht einschlägig. Die Fortsetzungsgefahr ist zu Recht bejaht worden.</w:t>
      </w:r>
    </w:p>
    <w:p>
      <w:r>
        <w:t>3.2Da das Vorhandensein eines einzigen besonderen Haftgrundes für die Anordnung von Haft genügt (statt vieler: AGE HB.2016.54 vom 21. Oktober 2016 E. 4.3), kann an sich dahingestellt bleiben, ob zudem auch der Haftgrund der Fluchtgefahr gegeben wäre. Immerhin ist festzuhalten, dass der Beschwerdeführer türkischer Staatsangehörigkeit in der Schweiz über kein soziales Netzwerk verfügt und mit einer längeren Strafe oder stationären Massnahme zu rechnen hat. Dies sind Elemente, welche Fluchtgefahr tendenziell nahelegen.</w:t>
      </w:r>
    </w:p>
    <w:p>
      <w:r>
        <w:t>3.3Unter dem Titel der Verhältnismässigkeit ist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 AGE HB.2017.8 vom 10. März 2017 E. 5). Die Staatsanwaltschaft beantragt für den Beschuldigten eine Freiheitsstrafe von 15 Monaten (Akten S. 1025). Damit ist die Dauer der ausgestandenen Haft noch nicht in grosse Nähe der zu erwartenden Strafe gerückt, selbst wenn diese noch etwas unter dem Antrag der Staatsanwaltschaft bleiben würde. Die Fortsetzung der Hauptverhandlung ist auf den 26. April 2017 angesetzt worden. Mildere Mittel zur Abwendung der Fortsetzungsgefahr sind nicht ersichtlich. Die Verlängerung der Sicherheitshaft erweist sich vorderhand noch als verhältnismässig.</w:t>
      </w:r>
    </w:p>
    <w:p>
      <w:r>
        <w:rPr>
          <w:b/>
        </w:rPr>
        <w:t>E. 4</w:t>
      </w:r>
    </w:p>
    <w:p>
      <w:r>
        <w:t>Aus dem Gesagten ergibt sich, dass die Beschwerde abzuweisen ist. Bei diesem Ausgang des Verfahrens hat der Beschwerdeführer dessen ordentliche Kosten zu tragen (Art. 428 Abs. 1 StPO). Auf die Erhebung einer Urteilsgebühr ist jedoch aufgrund offensichtlicher Hablosigkeit des Beschwerdeführers bzw. Uneinbringlichkeit zu verzichten. Dem per 22. Februar 2016 neu eingesetzten amtlichen Verteidiger, der im vorliegenden Verfahren nur eine Replik eingereicht hat, ist für seine Bemühungen ein angemessenes Honorar aus der Gerichtskasse zuzusprechen, wobei sein Aufwand mangels Einreichung einer Kostennote zu schätzen ist. Angemessen für die Erarbeitung der Replik erscheint ein Aufwand von rund zwei Stunden, welche mit einem Stundenansatz von CHF 200. zu vergüten sind. Entsprechend ist dem amtlichen Verteidiger für das Beschwerdeverfahren ein Honorar von CHF 400. (einschliesslich Auslagen), zuzüglich 8 % MWST von CHF 32.,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