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HB.2016.9 vom 25. April 2016</w:t>
      </w:r>
    </w:p>
    <w:p>
      <w:r>
        <w:t>BS Appellationsgericht, 2016-04-25, DE</w:t>
      </w:r>
    </w:p>
    <w:p>
      <w:r>
        <w:rPr>
          <w:b/>
        </w:rPr>
        <w:t xml:space="preserve">Quelle: </w:t>
      </w:r>
      <w:r>
        <w:t>https://mcp.opencaselaw.ch/entscheid/bs_appellationsgericht_HB.2016.9</w:t>
      </w:r>
    </w:p>
    <w:p>
      <w:r>
        <w:t>FR: BS_APPELLATIONSGERICHT HB.2016.9 du 25 avril 2016</w:t>
      </w:r>
    </w:p>
    <w:p>
      <w:r>
        <w:t>IT: BS_APPELLATIONSGERICHT HB.2016.9 del 25 aprile 2016</w:t>
      </w:r>
    </w:p>
    <w:p>
      <w:pPr>
        <w:pStyle w:val="Heading2"/>
      </w:pPr>
      <w:r>
        <w:t>Erwägungen</w:t>
      </w:r>
    </w:p>
    <w:p>
      <w:r>
        <w:rPr>
          <w:b/>
        </w:rPr>
        <w:t>E. 1</w:t>
      </w:r>
    </w:p>
    <w:p>
      <w:r>
        <w:t>lit. c in Verbindung mit Art. 222 der Strafprozessordnung [StPO, SR 312.0]). Zuständiges Beschwerdegericht ist das Appellationsgericht als Einzelgericht (§ 17 lit. b des Einführungsgesetzes zur StPO [SR 257.100] und § 73 a Abs. 1 lit. b des Gerichtsorganisationsgesetzes [SR 154.100]).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(vgl. BGE 137 IV 122 E. 3.2 S. 126; AGE HB.2012.6 vom 20. Februar 2012). Nach gefestigter Praxis des Appellationsgerichts gilt beim Vorliegen der Anklageschrift die Voraussetzung des dringenden Tatverdachts gemäss der Rechtsprechung vermutungsweise als erfüllt, weil damit in aller Regel eine Erhärtung und Verdichtung von anfänglich vielleicht noch eher vagen Verdachtsmomenten verbunden ist (statt vieler AGE HB.2015.11 vom 26. März 2015; vgl. auchHug/Scheidegger,in: Donatsch et al. [Hrsg.] Kommentar zur Schweizerischen Strafprozessordnung, 2. Auflage 2014, Art. 197 N 14 m.w.H.). Eine Ausnahme ist nur dann zu machen, wenn sich die Annahme eines dringenden Tatverdacht als geradezu unhaltbar erweist (BGer 1B_234/2011 E. 2.3, AGE HB.2015.33 vom 24. Juli 2015 E. 3.1).</w:t>
      </w:r>
    </w:p>
    <w:p>
      <w:r>
        <w:t>3.2Im vorliegenden Fall liegt die Anklageschrift seit dem 2. März 2016 vor. Darin wird dem Beschwerdeführer mehrfache Drohung und mehrfache Widerhandlung gegen das Waffengesetz vorgeworfen. Drohung wird gemäss Art. 180 Abs. 1 des Strafgesetzbuches (StGB, SR 311) mit Freiheitsstrafe bis zu drei Jahren oder Geldstrafe geahndet, womit es sich um ein Vergehen handelt (vgl. Art. 10 Abs. 3 StGB). Der Beschwerdeführer scheint den Inhalt der Anklageschrift und damit auch den dringenden Tatverdacht mit dem Hinweis bestreiten zu wollen, dass er seit seiner Inhaftierung niemals einvernommen worden sei und sich die Anklage lediglich auf die Angaben seiner Ehefrau und seiner Schwägerin stützen würden. Diese Behauptung trifft offensichtlich nicht zu und muss angesichts dessen, dass der den Beschwerdeführer im vorliegenden Verfahren vertretende Advokat an der Befragung des Beschwerdeführers vom 13. Januar 2016 (Dauer von 10.50 Uhr bis 13.00 Uhr, Akten S. 318 ff.) persönlich anwesend war, als mutwillig erhoben gelten. Anhaltspunkte, die die Annahme des dringenden Tatverdachts trotz Vorliegens der Anklageschrift als geradezu unhaltbar erscheinen liessen, sind keine ersichtlich. Die Vorinstanz hat deshalb zu Recht den dringenden Tatverdacht bejaht.</w:t>
      </w:r>
    </w:p>
    <w:p>
      <w:r>
        <w:rPr>
          <w:b/>
        </w:rPr>
        <w:t>E. 4</w:t>
      </w:r>
    </w:p>
    <w:p>
      <w:r>
        <w:t>4.1In ihrem Antrag auf Anordnung von Sicherheitshaft vom 2. März 2016 hat sich die Staatsanwaltschaft auf das Vorliegen von Kollusionsgefahr und Ausführungsgefahr gestützt. Es trifft somit nicht zu, dass die Staatsanwaltschaft bis zum Einreichen der Beschwerde keine besonderen Haftgründe geltend gemacht habe, wie der Beschwerdeführer in seiner Replik behauptet. Das Zwangsmassnahmengericht ist dem Antrag in beiden Punkten gefolgt, was in der Verfügung vom 15. März 2016 auch begründet worden ist. Demgegenüber hat es sich nicht zum Vorliegen einer allfälligen Fluchtgefahr geäussert. Auf die Bemerkungen des Beschwerdeführers, wonach er in der Schweiz verwurzelt sei und wonach der ihm nach einer bisherigen Inhaftierung von mehr als zwei Monaten noch drohende restliche Strafvollzug keinen erheblichen Fluchtanreiz begründe, braucht deshalb nicht weiter eingegangen zu werden.</w:t>
      </w:r>
    </w:p>
    <w:p>
      <w:r>
        <w:t>4.2Hinsichtlich der durch die Vorinstanz bejahten Kollusionsgefahr gesteht der Beschwerdeführer selber ein, dass ein gewichtiges Interesse daran bestehe, eine Einflussnahme auf die Geschädigte und die Zeugin zu verhindern. Er ist jedoch der Meinung, dass ein Kontaktverbot als mildere Massnahme genüge, um eine mögliche Kollusion zu verhindern. Er habe bereits einen Mietvertrag für eine Unterkunft ausserhalb des Wohnquartiers seiner Ehefrau und seiner Kinder abgeschlossen. In der Replik verweist er überdies auf das ihm bereits vom Zivilgericht Basel-Stadt auferlegte Annäherungsverbot. Einer Kollusionsgefahr könne somit unverzüglich und ohne weiteres begegnet werden. Dem ist nicht beizupflichten. Entgegen dem im vom Beschwerdeführer zitierten Bundesgerichtsentscheid 1B_225/2015 vom 10. Juli 2015 massgeblichen Sachverhalt hat der Beschwerdeführer im vorliegenden Fall die Vorwürfe nicht nahezu vollständig anerkannt, sondern im Gegenteil vollständig bestritten. Die mutmasslichen Drohungen haben im familiären Umfeld stattgefunden, das von Abhängigkeiten und Rücksichtnahmen geprägt ist (vgl. dazu auch AGE HB.2015.41 vom 14. September 2015). Der Beschwerdeführer wird durch seine Ehefrau und seine Schwägerin belastet. Beide sind zur Hauptverhandlung des Strafdreiergerichts  als Auskunftsperson und als Zeugin  vorgeladen worden (Akten S. 446). Die Gefahr, dass der Beschwerdeführer versuchen würde, trotz Kontaktverbots die Ehefrau mittels SMS, telefonisch oder mit Hilfe anderer elektronischer Medien einzuschüchtern, ist gross. Eine unverzügliche Reaktion der Behörden könnte eine bereits begangene Kollusion nicht mehr rückgängig machen, was vorliegend nicht in Kauf genommen werden kann. Hinzu kommt, dass der Beschwerdeführer aus der Haft eine Vielzahl von Briefen an seine Kinder verschickt hat, mit denen er regelmässig auch moralischen Druck auszuüben versucht (Habt ihr mich vergessen?, Akten S. 208, Warum schreibst du mir nicht ein paar Zeilen ich bin alleine in der Zelle und denke viel an euch draussenKein Mensch nimmt Rücksicht auf mich. Akten S. 219, bald hast Du deinen Geburtstag 8 Jahre alt wirst du gerne hätte ich mit dir einen lustigen Tag gehabtUnsere Familie ist auseinander gerissen, warum nur Frage ich mich Akten S. 221, etc.). Dass dieser Druck durch die (teils noch kleinen) Kinder an die Mutter weitergegeben werden und diese in ihren Aussagen beeinflussen kann, liegt auf der Hand. Der Beschwerdeführer zeigt deutlich, dass er keinerlei Unrechtsbewusstsein hinsichtlich seines Handelns gegenüber der Ehefrau hat und nicht davor zurückschreckt, seine Kinder mit den ehelichen Problemen zu belasten und auch sie zu Sündenböcken zu stempeln. Es ist zu erwarten, dass der auf die Kinder ausgeübte Druck sich in Freiheit noch verstärken würde. Das Kontaktverbot müsste deshalb auch auf sie ausgedehnt werden. Es kann aber nicht davon ausgegangen werden, dass sich der Beschwerdeführer an ein Kontaktverbot auch zu seinen Kindern halten würde. In seiner Befragung vom 13. Januar 2016 hat er erklärt: Ich habe doch das Recht auf meine Kinder. Wenn ich die Kinder wieder habe bin ich ein normaler Mensch. Frage: Und was sind sie wenn sie die Kinder nicht sehen dürfen? Antwort: Ich möchte einfach die Kinder sehen. Das ist das normalste auf der Welt (Akten S. 322). Es ist ferner auch darauf hinzuweisen, dass der Beschwerdeführer mit Verfügung des Einzelgerichts in Familiensachen vom 29. Oktober 2015 superprovisorisch verpflichtet worden ist, die auf seiner IV-Stammrente anfallenden IV-Kinderrenten ab sofort auf ein auf seine Ehefrau lautendes Konto zu überweisen. Um diese gerichtliche Anweisung hat er sich nicht gekümmert, sodass am 22. Dezember 2015 eine Rentensperre bezüglich der IV-Kinderrenten hat angeordnet werden müssen. Weshalb er sich nunmehr an eine weitere Anordnung einer staatlichen Behörde halten sollte, ist nicht nachvollziehbar. Insgesamt liegen genügend Anhaltspunkte für die Annahme vor, dass ein Kontaktverbot die Kollusionsgefahr nicht ausreichend verhindern könnte.</w:t>
      </w:r>
    </w:p>
    <w:p>
      <w:r>
        <w:t>4.3Da grundsätzlich das Bestehen eines besonderen Haftgrundes genügt, braucht eine mögliche Ausführungsgefahr nicht abschliessend geprüft werden. Es ist hier lediglich auf die vom Beschwerdeführer an [] am 22. Dezember 2015 geschriebene SMS zu verweisen: Ich möchte kein Druck ausüben habe Angst dass ich versage und durchdrehe ich kenne mich kann sehr brutal sein möchte mich nicht von einer Seite zeigen die Mann nur an der Front kennt genau gesagt habe Angst vor mir selber. Die Staatsanwaltschaft hatte angesichts dieser Äusserungen des Beschwerdeführers begründeten Anlass, ein psychiatrisches Gutachten in Auftrag zu geben, mit welchem auch die Ausführungsgefahr abzuklären war. Es ist gerichtsnotorisch, dass die Ausfertigung eines derartigen Gutachtens eine gewisse Zeit in Anspruch nimmt. Vorliegend ist der Auftrag zur Begutachtung bereits am 20. Januar 2016 mit Frist bis 20. April 2016 erteilt worden (Akten S. 15). Eine Verneinung der Ausführungsgefahr lässt sich jedenfalls vor Eintreffen des Gutachtens nicht rechtfertigen.</w:t>
      </w:r>
    </w:p>
    <w:p>
      <w:r>
        <w:rPr>
          <w:b/>
        </w:rPr>
        <w:t>E. 5</w:t>
      </w:r>
    </w:p>
    <w:p>
      <w:r>
        <w:t>Die Hauptverhandlung des Strafdreiergerichts ist inzwischen auf den 25. Mai 2016 angesetzt worden. Dannzumal wird sich der Beschwerdeführer erst während rund 4½ Monaten in Untersuchungs- und Sicherheitshaft befunden haben. Das Gebot der Verhältnismässigkeit ist damit gewahrt.</w:t>
      </w:r>
    </w:p>
    <w:p>
      <w:r>
        <w:rPr>
          <w:b/>
        </w:rPr>
        <w:t>E. 6</w:t>
      </w:r>
    </w:p>
    <w:p>
      <w:r>
        <w:t>Nach dem Gesagten erweist sich die Beschwerde als unbegründet und ist abzuweisen. Sie kann gerade noch als nicht von vorneherein aussichtslos bezeichnet werden, weshalb dem Gesuch um unentgeltliche amtliche Verteidigung zu entsprechen und dem Verteidiger ein angemessenes Honorar aus der Gerichtskasse auszurichten ist. Mangels Einreichung einer Kostennote ist sein Aufwand zu schätzen, wobei angesichts dem Umfangs der Akten und der eingereichten Rechtsschriften fünf Stunden als angemessen erscheinen, welche zum praxisgemässen Ansatz von CHF 200. zu entschädigen sind. Dies ergibt ein Honorar von CHF 1000. (einschliesslich Auslagen), zuzüglich 8 % MWST von CHF 80.. 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