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HB.2016.36 vom 29. Juli 2016</w:t>
      </w:r>
    </w:p>
    <w:p>
      <w:r>
        <w:t>BS Appellationsgericht, 2016-07-29, DE</w:t>
      </w:r>
    </w:p>
    <w:p>
      <w:r>
        <w:rPr>
          <w:b/>
        </w:rPr>
        <w:t xml:space="preserve">Quelle: </w:t>
      </w:r>
      <w:r>
        <w:t>https://mcp.opencaselaw.ch/entscheid/bs_appellationsgericht_HB.2016.36</w:t>
      </w:r>
    </w:p>
    <w:p>
      <w:r>
        <w:t>FR: BS_APPELLATIONSGERICHT HB.2016.36 du 29 juillet 2016</w:t>
      </w:r>
    </w:p>
    <w:p>
      <w:r>
        <w:t>IT: BS_APPELLATIONSGERICHT HB.2016.36 del 29 luglio 2016</w:t>
      </w:r>
    </w:p>
    <w:p>
      <w:pPr>
        <w:pStyle w:val="Heading2"/>
      </w:pPr>
      <w:r>
        <w:t>Erwägungen</w:t>
      </w:r>
    </w:p>
    <w:p>
      <w:r>
        <w:rPr>
          <w:b/>
        </w:rPr>
        <w:t>E. 1</w:t>
      </w:r>
    </w:p>
    <w:p>
      <w:r>
        <w:t>lit. c in Verbindung mit Art. 222 der Strafprozessordnung [StPO, SR 312.0]). Zuständiges Beschwerdegericht ist das Appellationsgericht als Einzelgericht (§ 88 Abs. 1 in Verbindung mit § 93 Abs. 1 Ziff. 1 des Gerichtsorganisationsgesetzes [GOG, SG 154.100]). Das Rechtsmittel ist nach Art. 396 Abs. 1 StPO innert zehn Tagen nach Eröffnung des Entscheids schriftlich und begründet bei der Beschwerdeinstanz einzureichen. Die Kognition des Beschwerdegerichts ist nach Art. 393 Abs. 2 StPO frei und damit nicht auf Willkür beschränkt.</w:t>
      </w:r>
    </w:p>
    <w:p>
      <w:r>
        <w:t>Die vorliegende Beschwerde ist form- und fristgerecht beim Appellationsgericht eingereicht worden, so dass auf sie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HB.2016.34 vom 30. Juni 2016 E. 3.1).</w:t>
      </w:r>
    </w:p>
    <w:p>
      <w:r>
        <w:t>Der Beschwerdeführer bestreitet das Vorliegen eines dringenden Tatverdachts nicht. Dieser ist denn auch aufgrund der bisherigen Untersuchungsergebnisse klar gegeben, wofür auf die Ausführungen des Zwangsmassnahmengerichts verwiesen werden kann.</w:t>
      </w:r>
    </w:p>
    <w:p>
      <w:r>
        <w:rPr>
          <w:b/>
        </w:rPr>
        <w:t>E. 4</w:t>
      </w:r>
    </w:p>
    <w:p>
      <w:r>
        <w:t>4.1Der Haftgrund der Wiederholungs- oder Fortsetzungsgefahr setzt nach Art. 221 Abs. 1 lit. c StPO voraus, dass konkrete Anhaltspunkte dafür bestehen, dass die beschuldigte Person in Freiheit durch Verbrechen oder schwere Vergehen die Sicherheit anderer erheblich gefährden würde, nachdem sie bereits früher Delikte verübt hat. Voraussetzung für die Annahme der Fortsetzungsgefahr ist damit gemäss der bundesgerichtlichen Rechtsprechung zunächst, dass der Beschuldigte mindestens zwei Straftaten begangen hat, die sich gegen gleiche oder gleichartige Rechtsgüter oder Geschädigte gerichtet haben wie die drohenden weiteren Verbrechen  oder schwere Vergehen (BGE 137 IV 84 E. 3.2 S. 85 f.). Das Bundesgericht hat klargestellt, dass die Anordnung von Haft wegen Fortsetzungsgefahr die Verhütung von Delikten bezwecke, und darauf hingewiesen, dass die Notwendigkeit, die beschuldigte Person an der Begehung einer strafbaren Handlung zu hindern, von Art. 5 Ziff. 1 lit. c EMRK ausdrücklich als Haftgrund anerkannt werde. Die Anordnung von Haft wegen Wiederholungsgefahr diene zudem dem strafprozessualen Ziel der Beschleunigung, indem verhindert werde, dass sich das Verfahren durch immer neue Delikte kompliziere und in die Länge ziehe (BGE 137 IV 84 E. 3.2 S. 85 f., 135 I 71 E. 2.2 S. 72). Aus Gründen der Verhältnismässigkeit bedarf es zur Bejahung der Fortsetzungsgefahr aber einer sehr ungünstigen Rückfallprognose (BGer 1B_155/2015 vom 27. Mai 2015 E. 2.2).</w:t>
      </w:r>
    </w:p>
    <w:p>
      <w:r>
        <w:t>Bei der Prüfung, ob im konkreten Fall die Rückfallprognose im Sinne der obigen Erwägungen als sehr ungünstig erscheint, sind Häufigkeit und Intensität der Vortaten von Bedeutung. Dabei steht die Zahl der erforderlichen Vortaten insofern in einer gewissen Abhängigkeit zu deren Gewicht, als umso höhere Anforderungen an die Anzahl der Straftaten zu richten sind, je geringer deren Schwere ist. Dabei müssen sich aber die Vortaten nicht notwendigerweise aus einem rechtskräftig abgeschlossenen Strafverfahren ergeben. Sie können vielmehr auch Gegenstand des Strafverfahrens, in dem sich die Frage der Untersuchungshaft stellt, oder eines anderen hängigen Strafverfahrens bilden (vgl. BGE 137 IV 84 E. 3.2 S. 86; BGer 1B_153/2014 vom 13. Mai 2014; AGE HB.2015.25 vom 11. Juni 2015 E. 5.2; FORSTER, in: Basler Kommentar, 2. Auflage 2014, Art. 221 StPO N 15; HUG/SCHEIDEGGER, in: Donatsch/Hansjakob/Lieber [Hrsg.], Kommentar zur StPO, 2. Auflage 2014, Art. 221 N 36; SCHMID, Praxiskommentar Strafprozessordnung, 2. Auflage 2013, Art. 221 N 12). Da die Vortaten nach dem Gesetzeswortlaut tatsächlich verübt worden sein müssen, genügt diesbezüglich ein blosser Tatverdacht nicht (BGE 137 IV 84 E. 3.2 S. 86). Unter diesen einschränkenden Voraussetzungen stellt die Annahme von Fortsetzungsgefahr im Hinblick auf die in einem hängigen Strafverfahren zu beurteilenden Deliktsvorwürfe keine Verletzung der Unschuldsvermutung dar.</w:t>
      </w:r>
    </w:p>
    <w:p>
      <w:r>
        <w:rPr>
          <w:b/>
        </w:rPr>
        <w:t>E. 6</w:t>
      </w:r>
    </w:p>
    <w:p>
      <w:r>
        <w:t>Aus dem Gesagten ergibt sich, dass die Beschwerde abzuweisen ist. Bei diesem Ausgang des Verfahrens hat der Beschwerdeführer dessen ordentliche Kosten zu tragen (Art. 428 Abs. 1 StPO). Hingegen ist ihm die amtliche Verteidigung zu bewilligen und seiner Vertreterin ein Honorar aus der Gerichtskasse auszurichten, wobei der Aufwand mangels Einreichung einer Kostennote zu schätzen ist. Im Vergleich mit anderen Verfahren erscheint ein Zeitaufwand von insgesamt sechs Stunden als angemessen. Das Honorar ist somit auf CHF 1200. (sechs Stunden à CHF 200.) festzusetzen, einschliesslich Auslagen, zuzüglich MWST zu 8% (CHF 96.).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