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HB.2016.19 vom 21. April 2016</w:t>
      </w:r>
    </w:p>
    <w:p>
      <w:r>
        <w:t>BS Appellationsgericht, 2016-04-21, DE</w:t>
      </w:r>
    </w:p>
    <w:p>
      <w:r>
        <w:rPr>
          <w:b/>
        </w:rPr>
        <w:t xml:space="preserve">Quelle: </w:t>
      </w:r>
      <w:r>
        <w:t>https://mcp.opencaselaw.ch/entscheid/bs_appellationsgericht_HB.2016.19</w:t>
      </w:r>
    </w:p>
    <w:p>
      <w:r>
        <w:t>FR: BS_APPELLATIONSGERICHT HB.2016.19 du 21 avril 2016</w:t>
      </w:r>
    </w:p>
    <w:p>
      <w:r>
        <w:t>IT: BS_APPELLATIONSGERICHT HB.2016.19 del 21 aprile 2016</w:t>
      </w:r>
    </w:p>
    <w:p>
      <w:pPr>
        <w:pStyle w:val="Heading2"/>
      </w:pPr>
      <w:r>
        <w:t>Erwägungen</w:t>
      </w:r>
    </w:p>
    <w:p>
      <w:r>
        <w:rPr>
          <w:b/>
        </w:rPr>
        <w:t>E. 1</w:t>
      </w:r>
    </w:p>
    <w:p>
      <w:r>
        <w:t>Die verhaftete Person kann Entscheide des Zwangsmassnahmengerichts über die Anordnung und Verlängerung der Untersuchungs- oder Sicherheitshaft mit Beschwerde bei der Beschwerdeinstanz anfechten (Art. 393 Abs. 1 lit. c i.V.m. Art. 222 der Schweizerischen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Die vorliegende Beschwerde ist form- und fristgerecht eingereicht worden. Zur Beurteilung einer Beschwerde bedarf es indessen auch eines aktuellen Rechtsschutzinteresses des Beschwerdeführers. Im vorliegenden Fall ist die mit der angefochtenen Verfügung angeordnete Haftdauer bis zum 19. Mai 2016 zwischenzeitlich abgelaufen. Damit ist das Beschwerdeverfahren als gegenstandslos abzuschreiben (BGE 137 I 23 E. 1.3.1 S. 24 f.).</w:t>
      </w:r>
    </w:p>
    <w:p>
      <w:r>
        <w:rPr>
          <w:b/>
        </w:rPr>
        <w:t>E. 2</w:t>
      </w:r>
    </w:p>
    <w:p>
      <w:r>
        <w:t>Ergibt sich die Gegenstandlosigkeit einer Beschwerde erst im Laufe des Beschwerdeverfahrens werden die Kosten praxisgemäss nach dem mutmasslichen Ausgang des Verfahrens auferlegt. Die Prüfung des mutmasslichen Verfahrensausgangs erfolgt summarisch (BGer 6B_109/2010 vom 22. Februar 2011 E. 4.1; AGE BES.2015.112 vom 17. November 2015, HB.2014.8 vom 24. April 2014;Domeisen, in: Basler Kommentar zur Schweizerischen Strafprozessordnung, 2. Auflage 2014, Art. 428 N 14).</w:t>
      </w:r>
    </w:p>
    <w:p>
      <w:r>
        <w:rPr>
          <w:b/>
        </w:rPr>
        <w:t>E. 3</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Für die Bejahung eines dringenden Tatverdachts im Sinne von Art. 221 Abs. 1 StPO ist erforderlich, dass aufgrund von genügend konkreten Tatsachen oder Informationen im Lichte aller Umstände objektiv darauf zu schliessen ist, die beschuldigte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AGE HB.2015.49 vom 25. November 2015 E. 3.1). Bei Vorliegen einer Anklageschrift gilt nach der Rechtsprechung die Voraussetzung des dringenden Tatverdachts vermutungsweise als erfüllt, weil damit in aller Regel eine Erhärtung und Verdichtung von anfänglich vielleicht noch eher vagen Verdachtsmomenten verbunden ist (vgl. statt vieler: APE HB.2015.11 vom 26. März 2015 mit Verweis auf HB.2012.6 vom 20. Februar 2012; Urteil BGer 1B_234/2011 vom 30. Mai 2011 E. 3.2 mit Hinweis auf BGer 1P.72/2002 vom 27. Februar 2002 E. 2.3;Hug/Scheidegger, in: Donatsch/Hansjakob/Lieber [Hrsg.], Kommentar zur Schweizerischen Strafprozessordnung, 2. Auflage 2014, Art. 221 N 6). Eine Ausnahme ist nur dann zu machen, wenn die beschuldigte Person im Haftprüfungs- oder Haftbeschwerdeverfahren darzutun vermag, dass die Annahme eines dringenden Tatverdachts geradezu unhaltbar ist (vgl. APE HB.2015.11 vom 26. März 2015).</w:t>
      </w:r>
    </w:p>
    <w:p>
      <w:r>
        <w:t>In ihrer Vernehmlassung vom 9. Mai 2016 hat die Staatsanwaltschaft darauf hingewiesen, dass zwischenzeitlich die Anklageschrift vorliege und demnächst dem Strafgericht überwiesen werde. Dies ist inzwischen erfolgt, wie sich aus der Replik des Beschwerdeführers ergibt. Der dringende Tatverdacht ist daher zu vermuten, zumal er sich aufgrund der Aussagen des mutmasslichen Opfers und des IRM-Gutachtens vom 3. Mai 2016 keineswegs als unhaltbar erweist. Eine umfassende Prüfung der Glaubhaftigkeit der Aussagen des mutmasslichen Opfers ist im Haftbeschwerdeverfahren nicht vorzunehmen.</w:t>
      </w:r>
    </w:p>
    <w:p>
      <w:r>
        <w:rPr>
          <w:b/>
        </w:rPr>
        <w:t>E. 5</w:t>
      </w:r>
    </w:p>
    <w:p>
      <w:r>
        <w:t>5.1Zu den speziellen Haftgründen hat das Zwangsmassnahmengericht erwogen, der Haftgrund der Kollusionsgefahr sei jedenfalls bis zur Konfrontation mit dem mutmasslichen Opfer zu bejahen, da bis dahin eine Beeinflussung des Opfers resp. des Verfahrens verhindert werden müsse. Es hat die Haft somit auf die (vorläufige) Dauer von 4 Wochen begrenzt in der Erwartung, dass in dieser Frist die weiteren Ermittlungen zügig vorangebracht und die relevanten Beweismittel ausgewertet sein sollten. Den Haftgrund der Fluchtgefahr hat es offen gelassen, aber als eher nicht erfüllt erachtet.</w:t>
      </w:r>
    </w:p>
    <w:p>
      <w:r>
        <w:t>5.2Da bei bestrittenen Sexualdelikten die Aussagen der Beteiligten in aller Regel das wesentliche Beweismittel darstellen, ist von entscheidender Bedeutung, dass eine Beeinflussung der Aussagen des mutmasslichen Opfers zumindest bis zur Konfrontation mit dem Beschuldigten verhindert wird. Die Bejahung der Kollusionsgefahr während der ersten Haftdauer bis zu einer möglichen Konfrontationseinvernahme ist daher nicht zu beanstanden und auch verhältnismässig. Wirksame Ersatzmassnahmen zur Verhinderung der Kollusion sind nicht ersichtlich, wie die Vorinstanz zu Recht erwogen hat. Das Zwangsmassnahmengericht hat jedoch zu Recht erwartet, dass die Staatsanwaltschaft die erforderliche Konfrontationseinvernahme innert der Frist von 4 Wochen vornimmt. Das ist  wie sich aus der Replik ergibt  offenbar nicht geschehen. Da die hier zu beurteilende Haft inzwischen abgelaufen ist, ist vorliegend nicht zu beurteilen, ob eine mit Kollusionsgefahr begründete Haft weiterhin verhältnismässig wäre (vgl. dazu BGer 1B_446/2013 vom 23. Januar 2014 E. 3.2.2, 1B_44/2008 vom 13. März 2008 E. 5.4). Dies wäre allenfalls im Rahmen einer Beschwerde gegen eine allfällige Haftverlängerung zu erörtern.</w:t>
      </w:r>
    </w:p>
    <w:p>
      <w:r>
        <w:rPr>
          <w:b/>
        </w:rPr>
        <w:t>E. 6</w:t>
      </w:r>
    </w:p>
    <w:p>
      <w:r>
        <w:t>Gemäss den obigen Ausführungen ergibt die summarische Prüfung der Haftbeschwerde, dass diese abzuweisen gewesen wäre. Bei diesem Ergebnis hat der Beschwerdeführer die Kosten des gegenstandslos gewordenen Beschwerdeverfahrens mit einer Gebühr von CHF 500. zu tragen.</w:t>
      </w:r>
    </w:p>
    <w:p>
      <w:r>
        <w:t>Der amtliche Verteidiger ist für seine Bemühungen aus der Gerichtskasse zu entschädigen. Mangels Einreichung einer Honorarnote ist der geleistete Aufwand zu schätzen. Angemessen erscheint ein Aufwand von rund sechs Stunden. Daraus ergibt sich ein Verteidigungshonorar in Höhe von CHF 1200. (einschliesslich Auslagen) zuzüglich 8 % MWST von CHF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