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HB.2016.15 vom 11. Mai 2016</w:t>
      </w:r>
    </w:p>
    <w:p>
      <w:r>
        <w:t>BS Appellationsgericht, 2016-05-11, DE</w:t>
      </w:r>
    </w:p>
    <w:p>
      <w:r>
        <w:rPr>
          <w:b/>
        </w:rPr>
        <w:t xml:space="preserve">Quelle: </w:t>
      </w:r>
      <w:r>
        <w:t>https://mcp.opencaselaw.ch/entscheid/bs_appellationsgericht_HB.2016.15</w:t>
      </w:r>
    </w:p>
    <w:p>
      <w:r>
        <w:t>FR: BS_APPELLATIONSGERICHT HB.2016.15 du 11 mai 2016</w:t>
      </w:r>
    </w:p>
    <w:p>
      <w:r>
        <w:t>IT: BS_APPELLATIONSGERICHT HB.2016.15 del 11 maggio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Schweizerische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Mai 2016 verfügte Haftverlängerung lediglich um zwei Tage, womit sich an der Verhältnismässigkeit der Haftdauer angesichts der zu erwartenden Strafe nichts ändert. Gemäss Art. 220 StPO ist die Untersuchungshaft mit dem inzwischen erfolgten Eingang der Anklage beim erstinstanzlichen Gericht zur Sicherheitshaft geworden.</w:t>
      </w:r>
    </w:p>
    <w:p>
      <w:r>
        <w:rPr>
          <w:b/>
        </w:rPr>
        <w:t>E. 3</w:t>
      </w:r>
    </w:p>
    <w:p>
      <w:r>
        <w:t>Der Beschwerdeführer dringt mit seinem Antrag teilweise durch, weshalb ihm eine reduzierte Entscheidgebühr von CHF 300.‒ aufzuerlegen ist. Dem amtlichen Verteidiger ist für seine Aufwendungen ein angemessenes Honorar aus der Gerichtskasse auszurichten. Dieses beträgt bei einem geschätzten Aufwand von 8 Stunden und beim geltenden Stundenansatz von CHF 200.‒ für die amtliche Verteidigung CHF 1600.‒ (inkl. Auslagen, zuzüglich 8% MWST). Der Beschwerdeführer ist gemäss Art. 135 Abs. 4 StPO zur Rückzahlung des Verteidigerhonorars verpflichtet,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