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HB.2015.6 vom 19. Februar 2015</w:t>
      </w:r>
    </w:p>
    <w:p>
      <w:r>
        <w:t>BS Appellationsgericht, 2015-02-19, DE</w:t>
      </w:r>
    </w:p>
    <w:p>
      <w:r>
        <w:rPr>
          <w:b/>
        </w:rPr>
        <w:t xml:space="preserve">Quelle: </w:t>
      </w:r>
      <w:r>
        <w:t>https://mcp.opencaselaw.ch/entscheid/bs_appellationsgericht_HB.2015.6</w:t>
      </w:r>
    </w:p>
    <w:p>
      <w:r>
        <w:t>FR: BS_APPELLATIONSGERICHT HB.2015.6 du 19 février 2015</w:t>
      </w:r>
    </w:p>
    <w:p>
      <w:r>
        <w:t>IT: BS_APPELLATIONSGERICHT HB.2015.6 del 19 febbraio 2015</w:t>
      </w:r>
    </w:p>
    <w:p>
      <w:pPr>
        <w:pStyle w:val="Heading2"/>
      </w:pPr>
      <w:r>
        <w:t>Erwägungen</w:t>
      </w:r>
    </w:p>
    <w:p>
      <w:r>
        <w:rPr>
          <w:b/>
        </w:rPr>
        <w:t>E. 1</w:t>
      </w:r>
    </w:p>
    <w:p>
      <w:r>
        <w:t>lit. c in Verbindung mit Art. 222 der Strafprozessordnung [StPO]). Zuständiges Beschwerdegericht ist das Appellationsgericht als Einzelgericht (§ 17 lit. b des Einführungsgesetzes zur StPO und § 73 a Abs. 1 lit. b des Gerichtsorganisationsgesetzes).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bzw.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(statt vieler: BGE 137 IV 122 E. 3.2 S. 126; AGE HB.2014.26 vom 10. September 2014).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mithin ob die Justizbehörden das Bestehen eines dringenden Tatverdachts mit vertretbaren Gründen bejahen durften. Hierfür genügt der Nachweis von konkreten Verdachtsmomenten, wonach das inkriminierte Verhalten mit erheblicher Wahrscheinlichkeit die fraglichen Tatbestandsmerkmale erfüllen könnte (BGer 1B_180/2014 vom 10. Juni 2014 E. 3.3). Dabei sind an den dringenden Tatverdacht in einem früheren Stadium der Strafuntersuchung weniger strenge Anforderungen zu stellen als zu einem fortgeschritteneren Stadium der Ermittlungen.</w:t>
      </w:r>
    </w:p>
    <w:p>
      <w:r>
        <w:t>3.2Gemäss einem Observationsrapport der Spezialfahndung der Kantonspolizei Basel-Stadt hat der Beschuldigte am 26. Januar 2015 seinen Begleiter B____ am Bahnhof Riehen aus seinem Personenwagen mit französischem Kennzeichen aussteigen lassen. B____ habe sich in der Folge zu Fuss in Richtung Dorfkern aufgemacht. Unterwegs habe er mehrere Passanten angesprochen und  so die Annahme der observierenden Beamten  nach Wechselgeld gefragt. Dabei soll er dem betagten 89-jährigen [...] 1000. Franken in einer Stückelung von 10x100 Franken abgenommen haben (Stückelung gemäss Abklärung bei der Migros-Bank, vgl. Rapport). Daraufhin sei B____ zum Fahrzeug zurückgekehrt, wo ihn der Beschwerdeführer, der im Fahrzeug sitzen geblieben war, habe einsteigen lassen. Dann seien die beiden Männer nach Basel gefahren, wo sie angehalten und kontrolliert wurden. Laut Rapport wurden beim Beschwerdeführer 10 Noten zu CHF 100. sichergestellt.</w:t>
      </w:r>
    </w:p>
    <w:p>
      <w:r>
        <w:t>Der Beschwerdeführer gab in seiner Einvernahme vom 27. Januar 2015 an, beim sichergestellten Betrag handle es sich um sein Geld. B____ gab an, das Geld auf dem Parkplatz gefunden zu haben. Es sei einer Person aus dem Portemonnaie gefallen (Einvernahme vom 27. Januar 2015, S. 10). In der gleichen Einvernahme gestand B____ auf Vorhalt mehrere Trickdiebstähle ein, die im Zeitraum zwischen dem 14. Januar und 26. Januar 2015 in Riehen zur Anzeige gebracht worden waren.</w:t>
      </w:r>
    </w:p>
    <w:p>
      <w:r>
        <w:t>3.3Unter diesen Umständen besteht kein Zweifel, dass ein dringender Tatverdacht auf den Beschwerdeführer fällt. Entgegen der Ansicht des Verteidigers liegt auf der Hand, welche Funktion dem Beschwerdeführer beim Vorfall vom 26. Januar 2015  mutmasslich ein Vermögensdelikt  zugekommen wäre. Er hätte eben seinen Kumpanen zum Tatort gefahren, ihn nach der Tat vom Tatort weggebracht und zudem noch die Beute an sich genommen. Dass er sich damit dringend als dessen Mittäter verdächtig gemacht hat, ist offensichtlich. Der dringende Tatverdacht erstreckt sich angesichts desmodus operandiauch auf die weiteren im Januar 2015 in Riehen zur Anzeige gebrachten Trickdiebstähle, bei welchen Personen um Wechselgeld gebeten wurden (vgl. Haftantrag: Trickdiebstahl vom 14. Januar 2015, Riehen; vom 15. Januar 2015, Riehen; vom 16. Januar 2015, Riehen; vom 17. Januar 2015, Riehen). Dies gilt umso mehr, als B____ seine Täterschaft in Bezug auf einige dieser Delikte in seiner Einvernahme einräumte. Der Beschwerdeführer macht zwar geltend, erst am 25. Januar 2015 in die Schweiz eingereist zu sein; das Flugticket habe er fortgeworfen. Den Umständen der Einreise wird die Ermittlungsbehörde womöglich noch nachgehen wollen. Wenn der Verteidiger vorbringt, dass dem Beschwerdeführer das Gegenteil nicht nachzuweisen sei, verkennt er allerdings, dass dies im Haftverfahren gar nicht erforderlich ist. In diesem Verfahrensstadium genügt nach dem Ausgeführten der dringende Verdacht. Dieser ist in der vorliegenden Konstellation klar gegeben, und zwar ungeachtet der vollkommen widersprüchlichen Aussagen der beiden Verhafteten.</w:t>
      </w:r>
    </w:p>
    <w:p>
      <w:r>
        <w:t>3.4Das Zwangsmassnahmengericht hat als besonderen Haftgrund Fluchtgefahr angenommen. 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Dass die Voraussetzungen zur Annahme der Fluchtgefahr gegeben sind, wird vom Beschwerdeführer, der die rumänische Staatsbürgerschaft besitzt und keine besondere Beziehung zur Schweiz hat, zu Recht nicht bestritten. Fluchtgefahr ist zu bejahen. Der Fluchtgefahr kann auch nicht mit einer milderen Massnahme als Haft wirksam begegnet werden.</w:t>
      </w:r>
    </w:p>
    <w:p>
      <w:r>
        <w:t>3.5Da das Vorhandensein eines einzigen besonderen Haftgrundes für die Anordnung von Haft genügt (statt vieler: BGer 1B_377/2014 vom 1. Dezember 2014 E. 4; APE HB.2014.20 vom 3. Juli 2014), kann auf die Erörterung der Frage, ob neben Flucht- auch Kollusionsgefahr gegeben sei, verzichtet werden.</w:t>
      </w:r>
    </w:p>
    <w:p>
      <w:r>
        <w:t>3.6Bandenmässiger Diebstahl wird mit Freiheitsstrafe oder Geldstrafe nicht unter 180 Tagessätzen bedroht (Art. 139 Ziff. 3 StGB). Die angeordnete Untersuchungshaft von 12 Wochen erweist sich damit als verhältnismässig.</w:t>
      </w:r>
    </w:p>
    <w:p>
      <w:r>
        <w:rPr>
          <w:b/>
        </w:rPr>
        <w:t>E. 4</w:t>
      </w:r>
    </w:p>
    <w:p>
      <w:r>
        <w:t>Aus dem Gesagten ergibt sich, dass die Beschwerde als unbegründet abzuweisen ist. Bei diesem Ausgang des Verfahrens hat der Beschwerdeführer die ordentlichen Kosten zu tragen (Art. 428 Abs. 1 StPO). Die Gebühr ist auf CHF 500. festzusetzen.</w:t>
      </w:r>
    </w:p>
    <w:p>
      <w:r>
        <w:t>Dem amtlichen Verteidiger ist für seine Bemühungen aus der Gerichtskasse ein angemessenes Honorar auszurichten. Mangels Einreichung einer Kostennote ist sein Aufwand zu schätzen, wobei angesichts des Umfangs des Beschwerdeschrift und der Replik ein Aufwand von sechs Stunden angemessen erscheint. Dieser ist zum üblichen Stundenansatz von CHF 200. zu entschädigen (einschliesslich Auslagen, zuzüglich MWST).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