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HB.2013.68 vom 30. Dezember 2013</w:t>
      </w:r>
    </w:p>
    <w:p>
      <w:r>
        <w:t>BS Appellationsgericht, 2013-12-30, DE</w:t>
      </w:r>
    </w:p>
    <w:p>
      <w:r>
        <w:rPr>
          <w:b/>
        </w:rPr>
        <w:t xml:space="preserve">Quelle: </w:t>
      </w:r>
      <w:r>
        <w:t>https://mcp.opencaselaw.ch/entscheid/bs_appellationsgericht_HB.2013.68</w:t>
      </w:r>
    </w:p>
    <w:p>
      <w:r>
        <w:t>FR: BS_APPELLATIONSGERICHT HB.2013.68 du 30 décembre 2013</w:t>
      </w:r>
    </w:p>
    <w:p>
      <w:r>
        <w:t>IT: BS_APPELLATIONSGERICHT HB.2013.68 del 30 dicembre 2013</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eingereichte Beschwerde ist einzutreten. Zuständig ist das Appellationsgericht als Einzelgericht (§ 17 lit. b des Gesetzes über die Einführung der Schweizerischen Strafprozessordnung [EG StPO; SG 257.100] und § 73a Abs. 1 lit. b des Gerichtsorganisationsgesetzes [GOG; SG 154.100]). Die Kognition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3.2Im vorliegenden Fall ergibt sich der dringende Tatverdacht aus dem Entwurf der Anklageschrift. Nach Ansicht der Vorinstanz bezieht sich der Tatverdacht auf insgesamt</w:t>
      </w:r>
    </w:p>
    <w:p>
      <w:r>
        <w:rPr>
          <w:b/>
        </w:rPr>
        <w:t>E. 6</w:t>
      </w:r>
    </w:p>
    <w:p>
      <w:r>
        <w:t>Die Beschwerde ist unbegründet und daher abzuweisen. Bei diesem Ausgang des Verfahrens hat der Beschwerdeführer dessen ordentliche Kosten zu tragen (Art. 428 Abs. 1 StPO). Hingegen ist sein Gesuch um amtliche bzw. unentgeltliche Verbeiständung im Beschwerdeverfahren praxisgemäss zu bewilligen, da von Bedürftigkeit auszugehen ist und die Beschwerde nicht geradezu aussichtslos erscheint. Dem Verteidiger ist ein angemessenes Honorar aus der Gerichtskasse zuzusprechen. Gemäss seinen Angaben rechnet er keine Mehrwertsteuer ab, weshalb das Honorar ohne Mehrwertsteuer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