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DGZ.2025.3 vom 19. Juni 2025</w:t>
      </w:r>
    </w:p>
    <w:p>
      <w:r>
        <w:t>BS Appellationsgericht, 2025-06-19, DE</w:t>
      </w:r>
    </w:p>
    <w:p>
      <w:r>
        <w:rPr>
          <w:b/>
        </w:rPr>
        <w:t xml:space="preserve">Quelle: </w:t>
      </w:r>
      <w:r>
        <w:t>https://mcp.opencaselaw.ch/entscheid/bs_appellationsgericht_DGZ.2025.3</w:t>
      </w:r>
    </w:p>
    <w:p>
      <w:r>
        <w:t>FR: BS_APPELLATIONSGERICHT DGZ.2025.3 du 19 juin 2025</w:t>
      </w:r>
    </w:p>
    <w:p>
      <w:r>
        <w:t>IT: BS_APPELLATIONSGERICHT DGZ.2025.3 del 19 giugno 2025</w:t>
      </w:r>
    </w:p>
    <w:p>
      <w:pPr>
        <w:pStyle w:val="Heading2"/>
      </w:pPr>
      <w:r>
        <w:t>Erwägungen</w:t>
      </w:r>
    </w:p>
    <w:p>
      <w:r>
        <w:rPr>
          <w:b/>
        </w:rPr>
        <w:t>E. 2</w:t>
      </w:r>
    </w:p>
    <w:p>
      <w:r>
        <w:t>2.1Grundsätzlich setzt der Aufschub der Vollstreckbarkeit in Anwendung von Art. 315 Abs. 4 lit. b ZPO voraus, dass der Gesuchsteller glaubhaft macht, dass ihm bei sofortiger Vollstreckung ein nicht leicht wiedergutzumachender Nachteil droht. Dieser Nachteil ist gegen die Nachteile abzuwägen, die der Gegenpartei bei einem Aufschub der Vollstreckbarkeit drohen. Schliesslich dürfen auch die Erfolgschancen des Rechtsmittels berücksichtigt werden (vgl. AGE DGZ.2022.3 vom 2. Dezember 2022 E. 2.1, DGZ.2021.1 vom 29. April 2021 E. 2.1 mit Nachweisen).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