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DGZ.2019.4 vom 16. August 2019</w:t>
      </w:r>
    </w:p>
    <w:p>
      <w:r>
        <w:t>BS Appellationsgericht, 2019-08-16, DE</w:t>
      </w:r>
    </w:p>
    <w:p>
      <w:r>
        <w:rPr>
          <w:b/>
        </w:rPr>
        <w:t xml:space="preserve">Quelle: </w:t>
      </w:r>
      <w:r>
        <w:t>https://mcp.opencaselaw.ch/entscheid/bs_appellationsgericht_DGZ.2019.4</w:t>
      </w:r>
    </w:p>
    <w:p>
      <w:r>
        <w:t>FR: BS_APPELLATIONSGERICHT DGZ.2019.4 du 16 août 2019</w:t>
      </w:r>
    </w:p>
    <w:p>
      <w:r>
        <w:t>IT: BS_APPELLATIONSGERICHT DGZ.2019.4 del 16 agosto 2019</w:t>
      </w:r>
    </w:p>
    <w:p>
      <w:pPr>
        <w:pStyle w:val="Heading2"/>
      </w:pPr>
      <w:r>
        <w:t>Erwägungen</w:t>
      </w:r>
    </w:p>
    <w:p>
      <w:r>
        <w:rPr>
          <w:b/>
        </w:rPr>
        <w:t>E. 1</w:t>
      </w:r>
    </w:p>
    <w:p>
      <w:r>
        <w:t>Örtlich und sachlich zuständig für die Erläuterung eines Entscheids nach Art. 334 Schweizerische Zivilprozessordnung (ZPO, SR 272) ist das Gericht, das den betreffenden Entscheid gefällt hat (Botschaft zur Schweizerischen Zivilprozessordnung, in: BBl 2006, S. 7221, 7382;Schwander, in: Brunner et al. [Hrsg.], ZPO Kommentar, 2. Auflage, Zürich 2016, Art. 334 N 9; vgl. AGE DG.2017.28 vom 30. Januar 2018 E. 1.2). Der Entscheid ZB.2016.26 wurde von einem Dreiergericht des Appellationsgerichts gefällt. Folglich ist auch das Erläuterungsgesuch von diesem zu beurteilen. Der Gesuchsteller ist als vormalige Partei im zu erläuternden Entscheid berechtigt, einen Erläuterungsantrag zu stellen (Herzog, in: Spühler/Tenchio/Infanger [Hrsg.], Basler Kommentar. Schweizerische Zivilprozessordnung, 3. Auflage, Basel 2017, Art. 334 N 12 und 14a; AGE DG.2015.9 vom 10. September 2015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