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DGS.2024.52 vom 6. Januar 2025</w:t>
      </w:r>
    </w:p>
    <w:p>
      <w:r>
        <w:t>BS Appellationsgericht, 2025-01-06, DE</w:t>
      </w:r>
    </w:p>
    <w:p>
      <w:r>
        <w:rPr>
          <w:b/>
        </w:rPr>
        <w:t xml:space="preserve">Quelle: </w:t>
      </w:r>
      <w:r>
        <w:t>https://mcp.opencaselaw.ch/entscheid/bs_appellationsgericht_DGS.2024.52</w:t>
      </w:r>
    </w:p>
    <w:p>
      <w:r>
        <w:t>FR: BS_APPELLATIONSGERICHT DGS.2024.52 du 6 janvier 2025</w:t>
      </w:r>
    </w:p>
    <w:p>
      <w:r>
        <w:t>IT: BS_APPELLATIONSGERICHT DGS.2024.52 del 6 gennaio 2025</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Es kann auch dann der Fall sein, wenn die Kostenauflage die verurteilte Person und gegebenenfalls von ihr Unterstützte finanziell entscheidend belastet und in keinem vernünftigen Verhältnis zur Höhe der Strafe steht (Domeisen,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Mit der Konzipierung von Art. 425 StPO als Kann-Bestimmung bleibt der zuständigen Strafbehörde ein grosser Ermessens- und Beurteilungsspielraum (BGer 6B_1184/2019 vom 25. Juni 2020 E. 1.1, 6B_886/2019 vom 25. September 2019 E. 2).</w:t>
      </w:r>
    </w:p>
    <w:p>
      <w:r>
        <w:t>2.2Aus den eingereichten Unterlagen ergibt sich, dass die finanziellen Verhältnisse der [...]köpfigen Familie tatsächlich sehr prekär sind. Der Familie verbleiben nach der von der Sozialhilfe direkt bezahlten Miete (inklusive Nebenkosten) und den Krankenkassenprämien monatlich rund CHF 2'000.‒, wobei selbst der Lehrlingslohn des ältesten Sohnes teilweise angerecht wird. Aus dem eingereichten Arztbericht ergibt sich zudem, dass der Gesuchsteller insbesondere in seiner psychischen Gesundheit derart stark eingeschränkt ist, dass er sein Erwerbseinkommen in absehbarer Zeit kaum wird steigern können (der Gesuchsteller sei an sich langanhaltend arbeitsunfähig, zwecks Tagesstruktur und sozialer Kontakte sei jedoch eine leichte Arbeit von höchstens 20 % empfehlenswert). Kommt dazu, dass der Gesuchsteller der Privatklägerin gemäss Urteil eine Genugtuung in Höhe von CHF 4'000.‒ zu bezahlen hat und im Falle seiner wirtschaftlichen Besserstellung auch noch die Rückforderungsvorbehalte bezüglich der Entschädigungen der amtlichen Verteidigung und der unentgeltlichen Vertreterin der Privatklägerin aktiviert würde. Vor diesem Hintergrund erscheint nur schon eine teilweise Kostenauflage unbillig. Es rechtfertigt sich daher, dem Gesuchsteller die gesamten Verfahrenskosten in Höhe von CHF 11'639.80 zu erlassen.</w:t>
      </w:r>
    </w:p>
    <w:p>
      <w:r>
        <w:rPr>
          <w:b/>
        </w:rPr>
        <w:t>E. 3</w:t>
      </w:r>
    </w:p>
    <w:p>
      <w:r>
        <w:t>Das Erlassgesuch ist demgemäss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