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DGS.2024.47 vom 27. September 2024</w:t>
      </w:r>
    </w:p>
    <w:p>
      <w:r>
        <w:t>BS Appellationsgericht, 2024-09-27, DE</w:t>
      </w:r>
    </w:p>
    <w:p>
      <w:r>
        <w:rPr>
          <w:b/>
        </w:rPr>
        <w:t xml:space="preserve">Quelle: </w:t>
      </w:r>
      <w:r>
        <w:t>https://mcp.opencaselaw.ch/entscheid/bs_appellationsgericht_DGS.2024.47</w:t>
      </w:r>
    </w:p>
    <w:p>
      <w:r>
        <w:t>FR: BS_APPELLATIONSGERICHT DGS.2024.47 du 27 septembre 2024</w:t>
      </w:r>
    </w:p>
    <w:p>
      <w:r>
        <w:t>IT: BS_APPELLATIONSGERICHT DGS.2024.47 del 27 settembre 2024</w:t>
      </w:r>
    </w:p>
    <w:p>
      <w:pPr>
        <w:pStyle w:val="Heading2"/>
      </w:pPr>
      <w:r>
        <w:t>Erwägungen</w:t>
      </w:r>
    </w:p>
    <w:p>
      <w:r>
        <w:rPr>
          <w:b/>
        </w:rPr>
        <w:t>E. 1</w:t>
      </w:r>
    </w:p>
    <w:p>
      <w:r>
        <w:t>Gemäss Art. 425 StPO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17. Januar 2024 wurde durch das Appellationsgericht erlassen, weshalb zur Behandlung des Kostenerlassgesuchs der Einzelrichter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2.2Der Gesuchsteller führt in seinem Kostenerlassgesuch aus, er besitze kein Vermögen. Das einzige Einkommen, welches er zurzeit erziele, sei das Pekulium in der Höhe von ca. CHF 500. pro Monat (Stand September 2024). Von diesem Betrag bekomme er einen Teil (ca. 50 %) als Barauszahlung, welcher dazu diene, persönliche Gegenstände des täglichen Bedarfs zu kaufen. Ein zweiter Teil (ca. 25 %) gehe auf sein Freikonto für die Begleichung der TV-Miete, Einkauf am Technischen Kiosk, Zeitschriften, Telefongespräche, Familienunterstützung, etc. Ebenfalls vom Freikonto könnten nahestehende Personen oder Organisationen Zuwendungen gemacht werden. Ein dritter Teil (15 %) gehe auf sein Zweckkonto. Von diesem Konto könnten zum Beispiel Kosten für medizinische Versorgung sowie auch für die ganze oder anteilsmässige Begleichung von Beiträgen an Krankenkassen, Rückforderungen der Opferhilfe und für Kosten der Heim- bzw. Ausschaffung herangezogen werden. Der Restanteil (10 %) werde auf sein Sparkonto einbezahlt. Dieses Geld stehe ihm erst am Tag seiner Entlassung als kleine Rücklage und Starthilfe zur Verfügung. Pro Vollzugsjahr sollten auf dem Sparkonto mindestens CHF 600. vorhanden sein. Auf dem Sparkonto verfüge er nach ca. 36 Monaten Freiheitsentzug über CHF 1'031.35.</w:t>
      </w:r>
    </w:p>
    <w:p>
      <w:r>
        <w:t>2.3Dem Gesuchsteller ist seit dem 23. September 2021 die Freiheit entzogen. Aktuell befindet er sich in der JVA Lenzburg. Während dieser Zeit konnte er folglich kein reguläres Einkommen erzielen und wird dies auch in Zukunft nicht tun können, zumal er nach Verbüssung seiner Freiheitsstrafe zwecks Vollzugs der neunjährigen Landesverweisung in sein Heimatland Türkei verbracht werden wird. Zurzeit verfügt er lediglich über ein bescheidenes Pekulium, welches zum einen nur teilweise frei verfügbar ist und zum anderen auch nicht gepfändet werden darf.</w:t>
      </w:r>
    </w:p>
    <w:p>
      <w:r>
        <w:t>2.4Der Gesuchsteller muss nach dem Gesagten als mittellos bezeichnet werden. Unter diesen Umständen erscheint eine Kostenauflage im Sinne des vorstehend Ausgeführten als unbillig, zumal sich an seiner finanziellen Situation bis zu seiner Repatri­ierung nichts ändern wird. Auch ist ihm in der Heimat eine geordnete Wiedereingliederung zu ermöglichen. Kommt dazu, dass im Falle seiner wirtschaftlichen Besserstellung auch noch der Rückforderungsvorbehalt bezüglich der Entschädigung seiner amtlichen Verteidigung für beide Instanzen aktiviert würde. Zudem wurde er zur Bezahlung einer Parteientschädigung sowie einer Genugtuung an das Opfer verurteilt. Vor diesem Hintergrund kann dem Gesuchsteller auch eine Ratenzahlung nicht zugemutet werden. Es rechtfertigt sich deshalb, ihm die gesamten Verfahrenskosten von CHF 43'293.80 (inklusive Mahngebühren) zu erlassen.</w:t>
      </w:r>
    </w:p>
    <w:p>
      <w:r>
        <w:rPr>
          <w:b/>
        </w:rPr>
        <w:t>E. 3</w:t>
      </w:r>
    </w:p>
    <w:p>
      <w:r>
        <w:t>Aus diesen Erwägungen folgt, dass das Erlassgesuch gutzuheissen ist.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