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DGS.2024.4 vom 19. Februar 2024</w:t>
      </w:r>
    </w:p>
    <w:p>
      <w:r>
        <w:t>BS Appellationsgericht, 2024-02-19, DE</w:t>
      </w:r>
    </w:p>
    <w:p>
      <w:r>
        <w:rPr>
          <w:b/>
        </w:rPr>
        <w:t xml:space="preserve">Quelle: </w:t>
      </w:r>
      <w:r>
        <w:t>https://mcp.opencaselaw.ch/entscheid/bs_appellationsgericht_DGS.2024.4</w:t>
      </w:r>
    </w:p>
    <w:p>
      <w:r>
        <w:t>FR: BS_APPELLATIONSGERICHT DGS.2024.4 du 19 février 2024</w:t>
      </w:r>
    </w:p>
    <w:p>
      <w:r>
        <w:t>IT: BS_APPELLATIONSGERICHT DGS.2024.4 del 19 febbraio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2.2Aus den eingegangenen Unterlagen ergibt sich, dass die finanziellen Verhältnisse des Gesuchstellers zwar gewiss nicht komfortabel, aber zugleich stabil sind und nicht als geradezu prekär bezeichnet werden können. Seine Ausgaben für die Miete sind mit monatlich CHF 621.50 (inklusive Heizkostenpauschale) bescheiden (er ist immer noch an der [...] wohnhaft) und die Krankenkassenprämien von stattlichen CHF 668.‒ pro Monat werden via Prämienverbilligung direkt bezahlt, sind also nicht in den monatlichen CHF 2'297.‒, die sich aus CHF 1'007.‒ AHV-Rente (im Jahr 2023) und CHF 1'290.‒ Ergänzungsleistungen zusammensetzen, enthalten. Unterstützungspflichten sind keine ersichtlich und werden auch keine geltend gemacht. Kommt dazu, dass das Sparguthaben immerhin CHF 778.‒ beträgt.</w:t>
      </w:r>
    </w:p>
    <w:p>
      <w:r>
        <w:t>2.3Unter diesen Umständen sind die Voraussetzungen für einen vollständigen Kostenerlass nicht gegeben. Vielmehr erscheint es zumutbar, dass der Gesuchsteller während zwei Jahren monatlich CHF 150.‒, somit insgesamt CHF 3600., an die gesamten Verfahrenskosten bezahlt. Wenn er diese Zahlungen regelmässig leistet, wird ihm dannzumal der Restbetrag der Verfahrenskosten von CHF 536.30 erlassen. Die Raten sind jeweils am ersten Tag des Monats fällig, erstmals zahlbar per 1. April 2024. Bei Ausbleiben einer einzigen Ratenzahlung wird der gesamte Restbetrag sofort fällig und verzinslich.</w:t>
      </w:r>
    </w:p>
    <w:p>
      <w:r>
        <w:rPr>
          <w:b/>
        </w:rPr>
        <w:t>E. 3</w:t>
      </w:r>
    </w:p>
    <w:p>
      <w:r>
        <w:t>Das Erlassgesuch ist demgemäss teilweise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