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 vom 19. Januar 2024</w:t>
      </w:r>
    </w:p>
    <w:p>
      <w:r>
        <w:t>BS Appellationsgericht, 2024-01-19, DE</w:t>
      </w:r>
    </w:p>
    <w:p>
      <w:r>
        <w:rPr>
          <w:b/>
        </w:rPr>
        <w:t xml:space="preserve">Quelle: </w:t>
      </w:r>
      <w:r>
        <w:t>https://mcp.opencaselaw.ch/entscheid/bs_appellationsgericht_DGS.2024.3</w:t>
      </w:r>
    </w:p>
    <w:p>
      <w:r>
        <w:t>FR: BS_APPELLATIONSGERICHT DGS.2024.3 du 19 janvier 2024</w:t>
      </w:r>
    </w:p>
    <w:p>
      <w:r>
        <w:t>IT: BS_APPELLATIONSGERICHT DGS.2024.3 del 19 gennaio 2024</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zur Behandlung von solchen (nachträglichen) Gesuchen ist das Gericht, welches als letzte kantonale Instanz die Tragung der Verfahrenskosten festgelegt hat. Die funktionelle Zuständigkeit innerhalb des Gerichts liegt gemäss § 43 Abs. 3 des Gerichtsorganisationsgesetzes (GOG, SG 154.100) beim Einzelgericht (statt vieler: AGE SB.2020.44 vom 25. Mai 2022 E. 1). Der Haftbeschwerdeentscheid vom 7. Mai 2019 wurde durch das Appellationsgericht (Einzelgericht) erlassen, weshalb zur Behandlung des Kostenerlassgesuchs die damalige Verfahrensleiterin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Zürich 2020, Art. 425 N 1a;Domeisen, in: Basler Kommentar StPO, 3. Auflage 2023, Art. 425 StPO N 4; vgl. statt vieler AGE SB.2020.44 vom 25. Mai 2022 E. 2.1). Zu bedenken ist in diesem Zusammenhang immer, dass der definitive Erlass von Gerichtskosten eine weitreichende Wirkung aufweist. So können einmal erlassene Verfahrenskosten selbst dann nicht mehr geltend gemacht werden, wenn sich die finanziellen Verhältnisse des Schuldners in der Folgezeit verbessern. Die Gewährung des Kostenerlasses ist deshalb mit Zurückhaltung vorzunehmen (AGE SB.2020.44 vom 25. Mai 2022 E. 2.1, SB.2017.73 vom 24. März 2021 E. 2.1, SB.2014.28 vom 28. August 2019 E. 2.1, SB.2017.64 vom 25. Januar 2019 E. 2.1 mit Hinweisen). Weniger weit geht demgegenüber eine Ratenzahlung. Mit der Konzipierung von Art. 425 StPO als Kann-Bestimmung bleibt der zuständigen Strafbehörde ein grosser Ermessensspielraum (Griesser, a.a.O., Art. 425 N 1a).</w:t>
      </w:r>
    </w:p>
    <w:p>
      <w:r>
        <w:t>2.2Der Gesuchsteller befindet sich im Strafvollzug. Er ist (neben den gestundeten Verfahrenskosten von über CHF 50'000. aus den zusammengelegten Verfahren SB.2019.93 und SB.2020.64) mit Genugtuungs- und Schadenersatzforderungen von fast CHF 100'000. belastet, an welche er aus seinem im Strafvollzug erwirtschafteten Pekulium bisher (teils freiwillig, teils angeordnet) den Betrag von insgesamt CHF 850. angezahlt hat. Über Vermögen verfügt er nicht, und nach der Entlassung aus dem Strafvollzug wird er für 8 Jahre des Landes verwiesen. Es erscheint unter diesen Umständen angezeigt, ihm die Gebühr des Haftbeschwerdeverfahrens von CHF 500. zu erlassen.</w:t>
      </w:r>
    </w:p>
    <w:p>
      <w:r>
        <w:rPr>
          <w:b/>
        </w:rPr>
        <w:t>E. 3</w:t>
      </w:r>
    </w:p>
    <w:p>
      <w:r>
        <w:t>Das Erlassgesuch ist demgemäss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