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DGS.2024.19 vom 11. Juli 2025</w:t>
      </w:r>
    </w:p>
    <w:p>
      <w:r>
        <w:t>BS Appellationsgericht, 2025-07-11, DE</w:t>
      </w:r>
    </w:p>
    <w:p>
      <w:r>
        <w:rPr>
          <w:b/>
        </w:rPr>
        <w:t xml:space="preserve">Quelle: </w:t>
      </w:r>
      <w:r>
        <w:t>https://mcp.opencaselaw.ch/entscheid/bs_appellationsgericht_DGS.2024.19</w:t>
      </w:r>
    </w:p>
    <w:p>
      <w:r>
        <w:t>FR: BS_APPELLATIONSGERICHT DGS.2024.19 du 11 juillet 2025</w:t>
      </w:r>
    </w:p>
    <w:p>
      <w:r>
        <w:t>IT: BS_APPELLATIONSGERICHT DGS.2024.19 del 11 luglio 2025</w:t>
      </w:r>
    </w:p>
    <w:p>
      <w:pPr>
        <w:pStyle w:val="Heading2"/>
      </w:pPr>
      <w:r>
        <w:t>Erwägungen</w:t>
      </w:r>
    </w:p>
    <w:p>
      <w:r>
        <w:rPr>
          <w:b/>
        </w:rPr>
        <w:t>E. 31</w:t>
      </w:r>
    </w:p>
    <w:p>
      <w:r>
        <w:t>August 2020 verfügte bzw. diese erst anlässlich der parteiöffentlichen Einvernahme von B____ vom 5. Juni 2023 bekannt wurden, rechtfertigt es sich nach dem Gesagten, in vorliegender Sache gleich zu verfahren und das Ausstandsgesuch des Gesuchstellers gutzuheissen (damit wird sein Antrag, es seien ihm sämtliche Protokolle der Präsidienkonferenz des Strafgerichts, in denen die Basel-nazifrei-Verfahren thematisiert worden seien, zu edieren, obsolet).</w:t>
      </w:r>
    </w:p>
    <w:p>
      <w:r>
        <w:t>4.</w:t>
      </w:r>
    </w:p>
    <w:p>
      <w:r>
        <w:t>4.1Werden Ausstandsgesuche gutgeheissen, ist  sofern im entsprechenden Verfahren bereits Anträge hinsichtlich der Folgen der Verletzung der Ausstandsvorschriften gestellt wurden  praxisgemäss auch darüber zu entscheiden (BGE 144 IV 90 E. 1.1.2; AGE DGS.2023.31 vom 19. Oktober 2023 E.  1.3;Keller, a.a.O., Art. 60 N 3;Boog, a.a.O., Art. 60 StPO N 2a).</w:t>
      </w:r>
    </w:p>
    <w:p>
      <w:r>
        <w:t>://:        Das Revisionsgesuch wird gutgeheissen und das Urteil SG.2020.176 in Bezug auf die Tatvorwürfe betreffend den 24. November 2018 (Schuldsprüche wegen Landfriedensbruchs und Gewalt und Drohung gegen Behörden und Beamte, die hierfür festgesetzte Strafe, die Verfügung betreffend die beschlagnahmten Gegenstände gemäss Abs. 3 des Dispositivs und die für diesen Sachverhaltskomplex berechneten Kosten) aufgehoben. Die Sache wird an das Strafgericht Basel-Stadt zurückgewiesen und Letzteres angewiesen, das entsprechende Verfahren von einem unabhängigen und unparteiischen Spruchkörper unter anderem Vorsitz wiederholen zu lassen.</w:t>
      </w:r>
    </w:p>
    <w:p>
      <w:r>
        <w:t>Es werden keine Kosten erhoben.</w:t>
      </w:r>
    </w:p>
    <w:p>
      <w:r>
        <w:t>A____ wird eine Entschädigung in der Höhe von CHF 1351.85 (inklusive Auslagen und Mehrwertsteuer) aus der Gerichtskasse zugesprochen.</w:t>
      </w:r>
    </w:p>
    <w:p>
      <w:r>
        <w:t>Mitteilung an:</w:t>
      </w:r>
    </w:p>
    <w:p>
      <w:r>
        <w:t>Der Präsident                                                            Der Gerichtsschreiber</w:t>
      </w:r>
    </w:p>
    <w:p>
      <w:r>
        <w:t>lic. iur. Christian Hoenen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