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DGS.2024.16 vom 26. Juni 2024</w:t>
      </w:r>
    </w:p>
    <w:p>
      <w:r>
        <w:t>BS Appellationsgericht, 2024-06-26, DE</w:t>
      </w:r>
    </w:p>
    <w:p>
      <w:r>
        <w:rPr>
          <w:b/>
        </w:rPr>
        <w:t xml:space="preserve">Quelle: </w:t>
      </w:r>
      <w:r>
        <w:t>https://mcp.opencaselaw.ch/entscheid/bs_appellationsgericht_DGS.2024.16</w:t>
      </w:r>
    </w:p>
    <w:p>
      <w:r>
        <w:t>FR: BS_APPELLATIONSGERICHT DGS.2024.16 du 26 juin 2024</w:t>
      </w:r>
    </w:p>
    <w:p>
      <w:r>
        <w:t>IT: BS_APPELLATIONSGERICHT DGS.2024.16 del 26 giugno 2024</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Verfahrenskosten im Sinne von Art. 425 StPO sind die Kosten des Strafverfahrens und die Gerichtsgebühren, nicht jedoch Bussen oder Geldstrafen. Zuständig für den Entscheid nach Art. 425 StPO ist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SB.2018.13 vom 10. September 2021 E. 1). Das Berufungsurteil wurde durch das Appellationsgericht erlassen, weshalb zur Behandlung des Kostenerlassgesuchs die Einzelrichterin des Appellationsgerichts zuständig ist.</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Es kann auch dann der Fall sein, wenn die Kostenauflage die verurteilte Person und gegebenenfalls von ihr Unterstützte finanziell entscheidend belastet und in keinem vernünftigen Verhältnis zur Höhe der Strafe steht (Griesser, in Donatsch et al. [Hrsg.], Kommentar zur Schweizerischen Strafprozessordnung. 3. Auflage 2020, Art. 425 N 1a;Domeisen, in: Basler Kommentar, 3. Auflage 2023, Art. 425 StPO N 4; AGE SB.2017.15 vom 27. Mai 2020 E. 2.1). Zu bedenken ist in diesem Zusammenhang immer, dass der definitive Erlass von Gerichtskosten eine weitreichende Wirkung aufweist. So können einmal erlassene Verfahrenskosten selbst dann nicht mehr geltend gemacht werden, wenn der Schuldner in der Folgezeit in günstigere finanzielle Verhältnisse kommt. Die Gewährung des Kotenerlasses ist deshalb mit Zurückhaltung vorzunehmen; deutlich weniger weit geht eine Ratenzahlung (AGE SB.2017.73 vom 24. März 2021 E. 2.1, SB.2014.28 vom 28. August 2019 E. 2.1). Mit der Konzipierung von Art. 425 StPO als Kann-Bestimmung bleibt der zuständigen Strafbehörde ein grosser Ermessens- und Beurteilungsspielraum (BGer 6B_1184/2019 vom 25. Juni 2020 E. 1.1, 6B_886/2019 vom 25. September 2019 E. 2).</w:t>
      </w:r>
    </w:p>
    <w:p>
      <w:r>
        <w:t>2.2Aus den eingereichten Unterlagen ergibt sich, dass die finanziellen Verhältnisse des Gesuchstellers tatsächlich prekär sind. Er erhält eine monatliche IV-Rente in Höhe von CHF 338.‒ sowie Ergänzungsleistungen von CHF 1'466.‒, woran sich angesichts des im Urteil vom 15. November 2023 festgestellten Störungsbilds in absehbarer Zeit auch nichts verändern dürfte. Kommt dazu, dass er den beiden Privatklägerin Parteientschädigungen in Höhe von insgesamt gut CHF 7'000.‒ zu bezahlen hat und im Falle seiner wirtschaftlichen Besserstellung auch noch die Rückforderungsvorbehalte bezüglich der Entschädigung der amtlichen Verteidigung für beide Instanzen aktiviert würde. Vor diesem Hintergrund erscheint nur schon eine teilweise Kostenauflage unbillig. Es rechtfertigt sich daher, dem Gesuchsteller die gesamten Verfahrenskosten in Höhe von CHF 17'170.‒ zu erlassen.</w:t>
      </w:r>
    </w:p>
    <w:p>
      <w:r>
        <w:rPr>
          <w:b/>
        </w:rPr>
        <w:t>E. 3</w:t>
      </w:r>
    </w:p>
    <w:p>
      <w:r>
        <w:t>Das Erlassgesuch ist demgemäss gutzuheissen. Es werden keine Kosten erhoben (§ 40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