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DGS.2022.21 vom 18. November 2022</w:t>
      </w:r>
    </w:p>
    <w:p>
      <w:r>
        <w:t>BS Appellationsgericht, 2022-11-18, DE</w:t>
      </w:r>
    </w:p>
    <w:p>
      <w:r>
        <w:rPr>
          <w:b/>
        </w:rPr>
        <w:t xml:space="preserve">Quelle: </w:t>
      </w:r>
      <w:r>
        <w:t>https://mcp.opencaselaw.ch/entscheid/bs_appellationsgericht_DGS.2022.21</w:t>
      </w:r>
    </w:p>
    <w:p>
      <w:r>
        <w:t>FR: BS_APPELLATIONSGERICHT DGS.2022.21 du 18 novembre 2022</w:t>
      </w:r>
    </w:p>
    <w:p>
      <w:r>
        <w:t>IT: BS_APPELLATIONSGERICHT DGS.2022.21 del 18 novembre 2022</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w:t>
      </w:r>
    </w:p>
    <w:p>
      <w:r>
        <w:rPr>
          <w:b/>
        </w:rPr>
        <w:t>E. 3</w:t>
      </w:r>
    </w:p>
    <w:p>
      <w:r>
        <w:t>Bei diesem Ausgang des Verfahrens hat der Gesuchsteller dessen Kosten zu tragen. Es wird ihm eine Entscheidgebühr von CHF 400. auferlegt (Art. 428 Abs. 1 StPO in Verbindung mit § 22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