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DGS.2022.12 vom 29. März 2023</w:t>
      </w:r>
    </w:p>
    <w:p>
      <w:r>
        <w:t>BS Appellationsgericht, 2023-03-29, DE</w:t>
      </w:r>
    </w:p>
    <w:p>
      <w:r>
        <w:rPr>
          <w:b/>
        </w:rPr>
        <w:t xml:space="preserve">Quelle: </w:t>
      </w:r>
      <w:r>
        <w:t>https://mcp.opencaselaw.ch/entscheid/bs_appellationsgericht_DGS.2022.12</w:t>
      </w:r>
    </w:p>
    <w:p>
      <w:r>
        <w:t>FR: BS_APPELLATIONSGERICHT DGS.2022.12 du 29 mars 2023</w:t>
      </w:r>
    </w:p>
    <w:p>
      <w:r>
        <w:t>IT: BS_APPELLATIONSGERICHT DGS.2022.12 del 29 marzo 2023</w:t>
      </w:r>
    </w:p>
    <w:p>
      <w:pPr>
        <w:pStyle w:val="Heading2"/>
      </w:pPr>
      <w:r>
        <w:t>Erwägungen</w:t>
      </w:r>
    </w:p>
    <w:p>
      <w:r>
        <w:rPr>
          <w:b/>
        </w:rPr>
        <w:t>E. 1</w:t>
      </w:r>
    </w:p>
    <w:p>
      <w:r>
        <w:t>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rPr>
          <w:b/>
        </w:rPr>
        <w:t>E. 2</w:t>
      </w:r>
    </w:p>
    <w:p>
      <w:r>
        <w:t>Ein Ausstandsgesuch muss der Verfahrensleitung «ohne Verzug» gestellt werden, sobald die gesuchstellende Partei vom Ausstandsgrund Kenntnis hat (Art. 58 Abs. 1 StPO). Ein verspätetes Ausstandsgesuch führt zum Nichteintreten auf das Gesuch (BGE 134 I 20 E. 4.3.1 S. 21 f., 132 II 485 E. 4.3 S. 496 f., 124 I 121 E. 2 S. 123;Keller, in: Donatsch/Hansjakob/Lieber [Hrsg.], Kommentar zur Schweizerischen Strafprozessordnung, 3. Auflage 2020,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rPr>
          <w:b/>
        </w:rPr>
        <w:t>E. 3</w:t>
      </w:r>
    </w:p>
    <w:p>
      <w:r>
        <w:t>3.1Der Parteivertreter moniert mit seinem Gesuch vom 2. März 2022, gegen den für die «[...]»-Verfahren zuständigen Staatsanwalt sei wegen Verwendung manipulierter Videozusammenschnitte ein Strafverfahren wegen Urkundenfälschung, Begünstigung und Freiheitsberaubung in mittelbarer Täterschaft eingeleitet worden. Dieses Strafverfahren betreffe sein Verhalten in just den Fällen, die er als Staatsanwalt weiterführe. Aufgrund seines persönlichen Interessens in der Sache sei er von der Fallführung in sämtlichen «[...]»-Prozessen auszuschliessen.</w:t>
      </w:r>
    </w:p>
    <w:p>
      <w:r>
        <w:t>3.2Der betroffene Staatsanwalt und Gesuchsgegner macht in seiner Stellungnahme geltend, B____ habe gegenüber dem Strafgericht bereits mit Eingabe vom 19. November 2020 den fehlenden Ton bei einer Szene der Videozusammenschnitte moniert. Das so begründete Ausstandsbegehren hätte demnach schon damals erfolgen müssen und erweise sich als verspätet. Die nachträglich erhobene Anzeige vermöge die Frist für ein Ausstandsbegehren nicht aufleben zu lassen. Auf das Ausstandsbegehren sei daher nicht einzutreten. Im Übrigen fehle der Anschein der Befangenheit, weshalb das Gesuch abzuweisen wäre.</w:t>
      </w:r>
    </w:p>
    <w:p>
      <w:r>
        <w:t>3.3In seiner Replik äussert der Parteivertreter, der fallführende Staatsanwalt könne direkt auf die vorliegenden Verfahren Einfluss nehmen, er sei aufgrund des gegen ihn laufenden Strafverfahrens aber nicht mehr alleine dem Recht verpflichtet, sondern «in erster Linie seiner eigenen Haut». Die Strafanzeige sei im Auftrag des [...] erfolgt, und erst als im Februar 2022 ein ausserkantonaler Staatsanwalt für die Untersuchung der Anzeige eingesetzt worden war, habe ein dringender Tatverdacht bestanden. Der Parteivertreter sei davon ausgegangen, dass der Gesuchsgegner angesichts dieser Umstände von den damit im Zusammenhang stehenden Fällen abgezogen würde und habe mit Erstaunen die vom Gesuchsgegner unterzeichnete Anschlussberufung vom 24. Februar 2022 zur Kenntnis genommen. Das unmittelbar im Anschluss daran gestellte Ausstandsbegehren sei somit rechtzeitig erfolgt.</w:t>
      </w:r>
    </w:p>
    <w:p>
      <w:r>
        <w:rPr>
          <w:b/>
        </w:rPr>
        <w:t>E. 3.4</w:t>
      </w:r>
    </w:p>
    <w:p>
      <w:r>
        <w:t>3.4.1Der Gesuchsgegner hat zurecht auf das Schreiben des Parteivertreters vom 19. November 2020 verwiesen, mit welchem gegenüber dem Strafgericht im Zusammenhang mit Videozusammenschnitten bereits moniert wurde, die Staatsanwaltschaft habe dort die Tonspur der originalen Videosequenzen gelöscht. Das dem Staatsanwalt vorgeworfene Verhalten war demnach bereits bekannt, und das darauf basierenden Ausstandsbegehren vom 2. März 2022 erweist sich als klar verspätet. Dass der Parteivertreter mit Schreiben an den Ersten Staatsanwalt vom 9. Dezember 2021 im Auftrag des Vereins «[...]» Strafanzeige gegen den Antragsgegner gestellt hat, ändert nichts daran, dass die zugrundliegenden Umstände erwiesenermassen bereits ein Jahr zuvor bekannt waren. Anzufügen ist, dass auch zeitgleich mit der Strafanzeige kein Ausstandsgesuch gestellt wurde. Zufolge Verspätung ist somit nicht auf das Ausstandsbegehren einzutreten</w:t>
      </w:r>
    </w:p>
    <w:p>
      <w:r>
        <w:t>3.4.2Im Sinne einer Eventualbegründung ist darauf zu verweisen, dass gemäss bundesgerichtliche Rechtsprechung das Erheben einer Strafanzeige durch eine Partei für sich allein nicht den Anschein der Befangenheit beim Adressaten zu begründen vermag. Andernfalls hätte es die betreffende Partei in der Hand, einen Richter in den Ausstand zu versetzen und so die Zusammensetzung des Gerichts zu beeinflussen (BGer 1B_401/2019 vom 4. Oktober 2019, E.3.5). Aus den gleichen Gründen kann es auch nicht angehen, dass es die Parteien mithilfe des Instruments der Strafanzeige in der Hand haben, im Falle eines ihnen nicht genehmen Staatsanwalts ohne anderweitig begründeten Anschein der Befangenheit den Ausstand zu erzwingen.</w:t>
      </w:r>
    </w:p>
    <w:p>
      <w:r>
        <w:t>Fehlerhafte Verfügungen und Verfahrenshandlungen des Staatsanwalts begründen für sich keinen Anschein der Voreingenommenheit. Anders verhält es sich, wenn besonders krasse oder wiederholte Irrtümer vorliegen, die eine schwere Verletzung der Amtspflichten darstellen (BGE 141 IV 178E. 3.2.3 S. mit Hinweisen). Solche sind vorliegend indes nicht zu erkennen. Die Verteidigung konnte offensichtlich auf die in Bild und Ton vollständigen Videoaufnahmen zugreifen. Dass der fallführende Staatsanwalt die Tonspur in den Zusammenschnitten der Staatsanwaltschaft selbst gelöscht hätte, wird in der Strafanzeige nicht behauptet. Ob die betreffende Tonspur verwertbar ist ‒ was der Gesuchsgegner in seiner Stellungnahme bestreitet ‒ ist nicht Gegenstand des vorliegenden Ausstandsverfahrens, sondern wird im Rahmen des Strafprozesses zu entscheiden sein.</w:t>
      </w:r>
    </w:p>
    <w:p>
      <w:r>
        <w:t>Auch ein rechtzeitig gestelltes Ausschliessungsbegehren wäre nach dem Gesagten abzuweisen gewesen.</w:t>
      </w:r>
    </w:p>
    <w:p>
      <w:r>
        <w:rPr>
          <w:b/>
        </w:rPr>
        <w:t>E. 4</w:t>
      </w:r>
    </w:p>
    <w:p>
      <w:r>
        <w:t>4.1Auf das Ausstandsgesuch wird nicht eingetreten. Bei diesem Ausgang des Verfahrens haben die Gesuchsteller dessen Kosten zu tragen (Art. 59 Abs. 4 StPO), wobei die Gebühr auf je CHF 300. festzusetzen ist (vgl. § 33 des Reglements über die Gerichtsgebühren, SG 154.810).</w:t>
      </w:r>
    </w:p>
    <w:p>
      <w:r>
        <w:t>4.2Der Parteivertreter hat für den Fall des Unterliegens eine Entschädigung als amtlicher Verteidiger beantragt. Aufgrund offensichtlicher Verspätung des Gesuchs und entsprechender Aussichtslosigkeit ist dieses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