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DGS.2019.49 vom 25. November 2019</w:t>
      </w:r>
    </w:p>
    <w:p>
      <w:r>
        <w:t>BS Appellationsgericht, 2019-11-25, DE</w:t>
      </w:r>
    </w:p>
    <w:p>
      <w:r>
        <w:rPr>
          <w:b/>
        </w:rPr>
        <w:t xml:space="preserve">Quelle: </w:t>
      </w:r>
      <w:r>
        <w:t>https://mcp.opencaselaw.ch/entscheid/bs_appellationsgericht_DGS.2019.49</w:t>
      </w:r>
    </w:p>
    <w:p>
      <w:r>
        <w:t>FR: BS_APPELLATIONSGERICHT DGS.2019.49 du 25 novembre 2019</w:t>
      </w:r>
    </w:p>
    <w:p>
      <w:r>
        <w:t>IT: BS_APPELLATIONSGERICHT DGS.2019.49 del 25 novembre 2019</w:t>
      </w:r>
    </w:p>
    <w:p>
      <w:pPr>
        <w:pStyle w:val="Heading2"/>
      </w:pPr>
      <w:r>
        <w:t>Erwägungen</w:t>
      </w:r>
    </w:p>
    <w:p>
      <w:r>
        <w:rPr>
          <w:b/>
        </w:rPr>
        <w:t>E. 1</w:t>
      </w:r>
    </w:p>
    <w:p>
      <w:r>
        <w:t>Zur Beurteilung eines Ausstandsbegehrens gegen ein Mitglied der Beschwerdeinstanz ist gemäss Art. 59 Abs. 1 lit. c der Schweizerischen Strafprozessordnung (StPO, SR 312.0) das Berufungsgericht zuständig. Da das Beschwerdeverfahren BES.[...], auf welches sich das vorliegende Ausstandsbegehren vom 2. Dezember 2019 bezieht, am 30. Januar 2020 auf Antrag des Gesuchstellers infolge Gegenstandslosigkeit abgeschrieben wurde, entfällt auch jegliches Rechtsschutzinteresse am vorliegenden Ausstandsverfahren, so dass dieses ebenfalls infolge Gegenstandslosigkeit abzuschreiben ist. Zuständig hierfür ist der Verfahrensleiter (§ 45 Abs. 1 des Gerichtsorganisationsgesetzes [GOG, SG 154.100]).</w:t>
      </w:r>
    </w:p>
    <w:p>
      <w:r>
        <w:rPr>
          <w:b/>
        </w:rPr>
        <w:t>E. 2</w:t>
      </w:r>
    </w:p>
    <w:p>
      <w:r>
        <w:t>Da der Bearbeitungsaufwand im vorliegenden Fall gering war, ist ausnahmsweise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