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DGS.2019.20 vom 13. Mai 2019</w:t>
      </w:r>
    </w:p>
    <w:p>
      <w:r>
        <w:t>BS Appellationsgericht, 2019-05-13, DE</w:t>
      </w:r>
    </w:p>
    <w:p>
      <w:r>
        <w:rPr>
          <w:b/>
        </w:rPr>
        <w:t xml:space="preserve">Quelle: </w:t>
      </w:r>
      <w:r>
        <w:t>https://mcp.opencaselaw.ch/entscheid/bs_appellationsgericht_DGS.2019.20</w:t>
      </w:r>
    </w:p>
    <w:p>
      <w:r>
        <w:t>FR: BS_APPELLATIONSGERICHT DGS.2019.20 du 13 mai 2019</w:t>
      </w:r>
    </w:p>
    <w:p>
      <w:r>
        <w:t>IT: BS_APPELLATIONSGERICHT DGS.2019.20 del 13 maggio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A____, der Staatsanwaltschaft sowie der Privatklägerschaft wurde je das Recht eingeräumt, sich zu Sache zu äussern. Die Staatsanwaltschaft plädiert für einen teilweisen Freispruch zugunsten des A____, wobei die mit Strafbefehl ausgesprochene Geldstrafe um 50 Tagesätze zu reduzieren sei. A____ und die Privatklägerschaft haben, indem sie die ihnen je gesetzte Vernehmlassungsfrist ungenutzt haben verstreichen lassen, darauf verzichtet, sich zur Sache zu äussern.</w:t>
      </w:r>
    </w:p>
    <w:p>
      <w:r>
        <w:rPr>
          <w:b/>
        </w:rPr>
        <w:t>E. 2</w:t>
      </w:r>
    </w:p>
    <w:p>
      <w:r>
        <w:t>2.1Hintergrund der Verurteilung von A____ wegen Hausfriedensbruchs war die am 3. Juni 2014 durchgeführte polizeiliche Räumung des der Privatklägerschaft im Baurecht gehörenden Grundstücks Basel Sektion 7, Parzelle [], an der []strasse in Basel, bekannt als []-Areal.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wiederholter polizeilicher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18.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bis ca. 14:45 Uhr (oder bis 15:25 Uhr) verweilte, obwohl er um ca. 14:00 Uhr durch die von den Berechtigten mit der Räumung des Areals beauftragte Polizei aufgefordert worden sei, das Gelände zu verlassen, andernfalls ihm rechtliche Konsequenzen drohen würden. Anders als bei den ausschliesslich wegen Hausfriedensbruchs verurteilten Personen folgt nun der individuelle Sachverhaltsvorwurf, wonach A____, um die Räumung des Areals zu erschweren und zu verzögern, auf das Dach einer auf dem zu räumenden Arealteil stehenden Baracke kletterte und sich trotz entsprechender Aufforderung weigerte, freiwillig wieder herunter zu kommen. Deshalb musste er schliesslich von der Polizei und der Feuerwehr über eine Drehleiter mit Korb zwischen 16:00 und 17:00 Uhr vom Dach geholt werden. Als Polizeikommissär [...] versuchte, den auf dem Rücken liegenden A____ am Oberarm zu fassen, um ihn zum Gefangenentransporter zu führen, versetzte ihm dieser absichtlich einen Tritt gegen das Bein, wobei er den Polizeibeamten aber nicht traf, sondern lediglich am Wadenbein streifte. Nachdem A____ aus dem Korb genommen wurde, bespuckte er Polizeikommissär [...] ausserdem und konnte am weiteren Bespucken des Beamten nur gehindert werden, indem Polizeikommissär [...] ihm den Mund zuhielt (Strafbefehl S. 2). Gestützt auf diesen Sachverhalt wurde A____ des Hausfriedensbruchs, der Gewalt und Drohung gegen Behörden und Beamte und der Hinderung einer Amtshandlung für schuldig befunden. Bei den ausschliesslich wegen Hausfriedensbruch verurteilten Personen endet der Sachverhaltsbeschrieb im Strafbefehl mit der Ausführung, die Polizei habe sie schliesslich zwischen 14:45 und 15:25 Uhr vom Grundstück entfernen müssen.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 abgesehen der den Vorwurf der Gewalt und Drohung gegen Behörden und Beamte und den Vorwurf der Hinderung einer Amtshandlung betreffenden Ausführungen  identischen Sachverhalt wie die fünf vom Vorwurf des Hausfriedensbruchs freigesprochenen Personen verurteilt wurde, ist er in Anwendung von Art. 392 Abs. 1 lit. a und b StPO und in teilweiser Aufhebung des Strafbefehls vom 3. Dezember 2014 vom Vorwurf des Hausfriedensbruchs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t>2.5Soweit der Strafbefehl vom 3. Dezember 2014 die Vorwürfe und Schuldsprüche wegen Gewalt und Drohung gegen Behörden und Beamte und die Hinderung einer Amtshandlung betrifft, bleibt er bestehen. Die von der Staatsanwaltschaft vorgeschlagene Reduktion des Strafmasses auf eine Geldstrafe von 70 Tagessätzen zu CHF 30. für die in Rechtskraft erwachsenen Schuldsprüche erscheint angemessen. Der Strafvollzug ist aufzuschieben und eine Probezeit von 2 Jahren anzusetzen, welche zwischenzeitlich allerdings wohl bereits abgelaufen ist, da sie mit Eröffnung des Strafbefehls vom 3. Dezember 2014 zu laufen begann (BGer 6B_522/2010 vom 23. September 2010 E. 3; s. auchSchneider/Garré, in: Niggli/Wiprächtiger, Basler Kommentar Strafrecht I, 4. Auflage 2019, Art. 44 StGB N 5 bezugnehmend auf den zukünftigen Abs. 4 [Zeitpunkt des Inkrafttretens noch nicht bekannt]). Nicht geäussert hat sich die Staatsanwaltschaft zu der mit Strafbefehl zusätzlich verhängten Busse von CHF 700.. Diese ist ebenfalls zu reduzieren und wird auf CHF 400. festgesetzt.</w:t>
      </w:r>
    </w:p>
    <w:p>
      <w:r>
        <w:rPr>
          <w:b/>
        </w:rPr>
        <w:t>E. 3</w:t>
      </w:r>
    </w:p>
    <w:p>
      <w:r>
        <w:t>A____ sind im Ausdehnungsverfahren keine Kosten entstanden, weshalb ihm keine Parteientschädigung auszurichten ist. Die Kosten des Strafbefehlverfahrens wurden ihm gestützt auf die Schuldsprüche wegen Gewalt und Drohung gegen Behörden und Beamte und Hinderung einer Amtshandlung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