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DGS.2019.17 vom 13. Mai 2019</w:t>
      </w:r>
    </w:p>
    <w:p>
      <w:r>
        <w:t>BS Appellationsgericht, 2019-05-13, DE</w:t>
      </w:r>
    </w:p>
    <w:p>
      <w:r>
        <w:rPr>
          <w:b/>
        </w:rPr>
        <w:t xml:space="preserve">Quelle: </w:t>
      </w:r>
      <w:r>
        <w:t>https://mcp.opencaselaw.ch/entscheid/bs_appellationsgericht_DGS.2019.17</w:t>
      </w:r>
    </w:p>
    <w:p>
      <w:r>
        <w:t>FR: BS_APPELLATIONSGERICHT DGS.2019.17 du 13 mai 2019</w:t>
      </w:r>
    </w:p>
    <w:p>
      <w:r>
        <w:t>IT: BS_APPELLATIONSGERICHT DGS.2019.17 del 13 maggio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Der Staatsanwaltschaft, A____ sowie der Privatklägerschaft wurde je das Recht eingeräumt, sich zu Sache zu äussern. Die Staatsanwaltschaft plädiert für einen teilweisen Freispruch zugunsten von A____. Dabei sei die mit Strafbefehl ausgesprochene Geldstrafe um 50 Tagesätze zu reduzieren sei, so dass die gleiche Strafe resultiere, wie sie gegen eine mit Urteil des Appellationsgerichts vom 1. Dezember 2017 der Hinderung einer Amtshandlung schuldig gesprochene aber vom Vorwurf des Hausfriedensbruch freigesprochene Person verhängt worden ist. Die Privatklägerschaft sowie A____ haben, indem sie die ihnen je gesetzte Vernehmlassungsfrist ungenutzt haben verstreichen lassen, darauf verzichtet, sich zur Sache zu äussern.</w:t>
      </w:r>
    </w:p>
    <w:p>
      <w:r>
        <w:rPr>
          <w:b/>
        </w:rPr>
        <w:t>E. 2</w:t>
      </w:r>
    </w:p>
    <w:p>
      <w:r>
        <w:t>Jahren anzusetzen, welche zwischenzeitlich allerdings wohl bereits abgelaufen ist, da sie mit Eröffnung des Strafbefehls vom 3. Dezember 2014 zu laufen begann (BGer 6B_522/2010 vom 23. September 2010 E. 3; s. auchSchneider/Garré, in: Niggli/Wiprächtiger, Basler Kommentar Strafrecht I, 4. Auflage 2019, Art. 44 StGB N 5 bezugnehmend auf den zukünftigen Abs. 4 [Zeitpunkt des Inkrafttretens noch nicht bekannt]). Nicht geäussert hat sich die Staatsanwaltschaft zu der mit Strafbefehl vom 12. Dezember 2014 zusätzlich verhängten Verpflichtung zu 16 Stunden gemeinnütziger Arbeit bzw. zur Busse von CHF 400.. Diese Verpflichtung zu einer Arbeitsleistung bzw. zur Bezahlung einer Busse ist in Angleichung an die mit Urteil des Appellationsgerichts vom 1. Dezember 2017 gegen eine Person wegen Hinderung einer Amtshandlung ausgesprochene Geldstrafe von 10 Tagessätzen zu CHF 30. (ohne gleichzeitige Verhängung einer Busse bzw. Pflicht zur Arbeitsleistung) aufzuheben.</w:t>
      </w:r>
    </w:p>
    <w:p>
      <w:r>
        <w:rPr>
          <w:b/>
        </w:rPr>
        <w:t>E. 3</w:t>
      </w:r>
    </w:p>
    <w:p>
      <w:r>
        <w:t>A____ sind im Ausdehnungsverfahren keine Kosten entstanden, weshalb ihr keine Parteientschädigung auszurichten ist. Die Kosten des Strafbefehlverfahrens wurden ihr gestützt auf den Schuldspruch wegen Hinderung einer Amtshandlung zu Recht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