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DG.2018.48 vom 28. Mai 2019</w:t>
      </w:r>
    </w:p>
    <w:p>
      <w:r>
        <w:t>BS Appellationsgericht, 2019-05-28, DE</w:t>
      </w:r>
    </w:p>
    <w:p>
      <w:r>
        <w:rPr>
          <w:b/>
        </w:rPr>
        <w:t xml:space="preserve">Quelle: </w:t>
      </w:r>
      <w:r>
        <w:t>https://mcp.opencaselaw.ch/entscheid/bs_appellationsgericht_DG.2018.48</w:t>
      </w:r>
    </w:p>
    <w:p>
      <w:r>
        <w:t>FR: BS_APPELLATIONSGERICHT DG.2018.48 du 28 mai 2019</w:t>
      </w:r>
    </w:p>
    <w:p>
      <w:r>
        <w:t>IT: BS_APPELLATIONSGERICHT DG.2018.48 del 28 maggio 2019</w:t>
      </w:r>
    </w:p>
    <w:p>
      <w:pPr>
        <w:pStyle w:val="Heading2"/>
      </w:pPr>
      <w:r>
        <w:t>Erwägungen</w:t>
      </w:r>
    </w:p>
    <w:p>
      <w:r>
        <w:rPr>
          <w:b/>
        </w:rPr>
        <w:t>E. 1</w:t>
      </w:r>
    </w:p>
    <w:p>
      <w:r>
        <w:t>1.1Nach Art. 411 Abs. 1 der Schweizerischen Strafprozessordnung (StPO, SR 312.0) ist zur Beurteilung von Revisionsgesuchen das Berufungsgericht zuständig. Dieses ist in Basel-Stadt das Appellationsgericht (§ 91 Abs. 2 des Gesetzes betreffend die Organisation der Gerichte und der Staatsanwaltschaft [GOG, SG 154.100]). Gemäss Art. 412 Abs. 1 StPO nimmt das Berufungsgericht in einem schriftlichen Verfahren eine vorläufige Prüfung des Revisionsgesuches vor. Ist das Gesuch offensichtlich unzulässig oder unbegründet oder wurde es mit dem gleichen Vorbringen schon früher gestellt und abgelehnt, so tritt das Gericht nicht darauf ein (Art. 412 Abs. 2 StPO). In Basel-Stadt ist für die Vorprüfung von Revisionsgesuchen betreffend Urteile des Dreiergerichts des Strafgerichts oder des Appellationsgerichts ein Dreiergericht des Appellationsgerichts zuständig (§ 92 Abs. 1 Ziff. 3 GOG). Für die Zusammensetzung des Gerichts ist die Vorschrift von Art. 21 Abs. 3 StPO zu beachten, wonach Mitglieder des im Hauptverfahren entscheidenden Berufungsgerichts nicht im gleichen Fall als Revisionsrichterinnen und Revisionsrichter tätig sein dürfen.</w:t>
      </w:r>
    </w:p>
    <w:p>
      <w:r>
        <w:rPr>
          <w:b/>
        </w:rPr>
        <w:t>E. 2</w:t>
      </w:r>
    </w:p>
    <w:p>
      <w:r>
        <w:t>Art. 410 Abs. 1 der Strafprozessordnung enthält einen Katalog von Revisionsgründen, welche geltend machen kann, wer durch ein rechtskräftiges Urteil, einen Strafbefehl, einen nachträglichen richterlichen Entscheid oder einen Entscheid im selbständigen Massnahmeverfahren beschwert ist. Die Revision nach Art. 410 ff. StPO erlaubt es, rechtskräftige Strafentscheide vor allem wegen nachträglich auftauchender neuer Beweismittel oder Tatsachen wiederaufzunehmen, den Fall also neu zu beurteilen. Die Revision ist ein subsidiäres Rechtsmittel; sie setzt also die formelle Rechtskraft voraus (Schmid/Jositsch, StPO Praxiskommentar, 3. Auflage 2017, Art. 410 N 1-2 mit Verweis auf Art. 437 N 1). Innerhalb der entsprechenden Rechtsmittelfristen ist die Revision der Berufung gegenüber immer subsidiär, da sämtliche Mängel, die zu einer Revision Anlass geben würden, auch im Berufungsverfahren gerügt werden können (Fingerhuth, in: Donatsch/Hansjakob/Lieber [Hrsg.], Kommentar zur StPO, 2. Auflage, Zürich 2014, Art. 410 N 29). Wie sowohl der Instruktionsrichter im Berufungsverfahren als auch der Vertreter des Privatklägers B____ zu Recht festgestellt haben, fehlt es im vorliegenden Fall am für eine Revision erforderlichen rechtskräftigen Urteil, nachdem das Bundesgericht die Sache zur Neubeurteilung an das Berufungsgericht zurückgewiesen hat.</w:t>
      </w:r>
    </w:p>
    <w:p>
      <w:r>
        <w:t>Aus dem Gesagten folgt, dass sich das Revisionsgesuch bereits aufgrund der Vorprüfung als offensichtlich unzulässig erweist, so dass darauf in Anwendung von Art. 412 Abs. 2 StPO nicht einzutreten ist.</w:t>
      </w:r>
    </w:p>
    <w:p>
      <w:r>
        <w:rPr>
          <w:b/>
        </w:rPr>
        <w:t>E. 3</w:t>
      </w:r>
    </w:p>
    <w:p>
      <w:r>
        <w:t>3.1Bei diesem Ausgang des Verfahrens hat der Gesuchsteller dessen Kosten zu tragen. Es wird ihm eine Entscheidgebühr von CHF 500. auferlegt (Art. 428 Abs. 1 StPO in Verbindung mit § 21 Abs. 1 des Gerichtsgebührenreglements [GGR, SG 154.810])</w:t>
      </w:r>
    </w:p>
    <w:p>
      <w:r>
        <w:t>3.2Der Gesuchsteller hat zudem den Privatkläger B____ für die Kosten seiner Rechtsvertretung im vorliegenden Verfahren zu entschädigen (Art. 433 Abs. 1 StPO). Es wird von seinem Rechtsvertreter ein Aufwand von 22 Stunden zu CHF 300.‒ geltend gemacht. Aus der Deservitenkarte geht hervor, dass D____, welcher den Privatkläger im Verfahren gegen A____ vertritt, die vorliegende Stellungnahme zum Revisionsgesuch nicht alleine ausgearbeitet hat, sondern unter Beizug des in der gleichen Kanzlei tätigen E____, was an sich ohne weiteres zulässig ist. Aus der Deservitenkarte ist jedoch ersichtlich, dass dies zeitaufwändige Besprechungen notwendig machte, welche bei der Bearbeitung durch D____ selbst aufgrund der Kenntnisse aus dem Hauptverfahren nicht angefallen wären. Dieser Wissenstransfer, der teilweise aus der Perspektive von D____ in Rechnung gestellt wird (19.2.19: Besprechung mit E____; 8.3.19: Instruktionen an E____), teilweise aus jener von E____ (1.3.19: Interne Besprechung mit D____; 1.4.2019: Besprechung mit D____), darf nicht zu Lasten des Gesuchstellers gehen. Die eingereichte 13-seitige Stellungnahme ist von hoher Qualität, und dass neben der vom Gericht angenommenen Unzulässigkeit einer Revision mangels rechtskräftigen Urteils auch weitere Argumente gegen eine Revision ausgeführt worden sind, ist nicht zu beanstanden. Zu vergüten ist in diesem Verfahren jedoch nur jener Aufwand, der im Zusammenhang mit dem Revisionsgesuch erforderlich war. Darunter fallen die Prüfung der Verfügung des Appellationsgerichts und das Schreiben an den Klienten (3.1.19: 00:45), die Prüfung des Revisionsgesuchs (19.2.19: 00:25), das Aktenstudium und das Studium der Stellungnahme der beiden Gerichte (5.3.19: 01:00), eine Fristerstreckung (7.3.19: 00:15) sowie pauschal 8 Stunden für die Ausarbeitung der Stellungnahme inklusive erforderliches Studium von Rechtssprechung und Literatur (anstelle der folgenden Posten: Rechtsstudium etc. vom 28.3.19 [03:00]; Aktenstudium vom 28.3.19 [03:30]; Arbeiten an Stellungnahme vom 29.3.19 [02:30]; Finalisierung des Entwurfs [04:00]; Finalisierung des Revisionsgesuches [sic!], Stellungnahme [01:15]; Finalisierung der Stellungnahme [01:30]. Hieraus resultiert ein durch den Gesuchsteller zu vergütender Aufwand von 10:25 Stunden zum praxisgemässen Stundenansatz von CHF 250.‒. Dies entspricht dem üblichen Aufwand in vergleichbar komplexen Fällen. Es wird nicht bezweifelt, dass der weitere geltend gemachte Aufwand betrieben worden ist, er wird jedoch als zu hoch erachtet und dem Privatkläger daher nicht zu Lasten des Gesuchstellers zugesprochen. Zusätzlich sind Auslagen in Form von Portokosten von CHF 5.30 sowie für 60 Kopien, für welche praxisgemäss CHF 0,25 /Stück einzusetzen sind, zu vergüten. Hinzu kommen 7,7 % Mehrwertsteuer (total CHF 187.50). Insgesamt hat der Gesuchsteller dem Privatkläger B____ demnach eine Entschädigung von CHF 2826.55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