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DG.2017.51 vom 16. April 2018</w:t>
      </w:r>
    </w:p>
    <w:p>
      <w:r>
        <w:t>BS Appellationsgericht, 2018-04-16, DE</w:t>
      </w:r>
    </w:p>
    <w:p>
      <w:r>
        <w:rPr>
          <w:b/>
        </w:rPr>
        <w:t xml:space="preserve">Quelle: </w:t>
      </w:r>
      <w:r>
        <w:t>https://mcp.opencaselaw.ch/entscheid/bs_appellationsgericht_DG.2017.51</w:t>
      </w:r>
    </w:p>
    <w:p>
      <w:r>
        <w:t>FR: BS_APPELLATIONSGERICHT DG.2017.51 du 16 avril 2018</w:t>
      </w:r>
    </w:p>
    <w:p>
      <w:r>
        <w:t>IT: BS_APPELLATIONSGERICHT DG.2017.51 del 16 aprile 2018</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 92 Abs. 1 Ziffer 3 Gerichtsorganisationsgesetz [GOG, SG 154.100]). Das Berufungsgericht nimmt gemäss Art. 412 Abs. 1 StPO im schriftlichen Verfahren eine vorläufige Prüfung des Revisionsgesuchs vor. Ist das Gesuch offensichtlich unzulässig oder unbegründetoder wurde es mit den gleichen Vorbringen schon früher gestellt und abgelehnt, so tritt das Gericht nicht darauf ein (Art. 412 Abs. 2 StPO). In Basel-Stadt ergeht in diesem Fall der Nichteintretensentscheid durch ein Dreiergericht (§ 92 Abs. 1 Ziff. 3 GOG). In diesen Fällen ist eine Vernehmlassung bei den anderen Parteien oder der Vorinstanz nicht erforderlich (Art. 412 Abs. 2 in Verbindung mit Abs. 3 StPO;Heer, in: Basler Kommentar StPO, 2. Auflage 2014, Art. 412 N 9). Für die Zusammensetzung des Gerichts ist die Vorschrift von Art. 21 Abs. 3 StPO zu beachten, wonachMitglieder desim Hauptverfahren entscheidendenBerufungsgerichts nicht im gleichen Fall als Revisionsrichterinnen und Revisionsrichter tätig sein dürfen (vgl. AGEDG.2016.6 vom 27. März 2017 E. 1.1).</w:t>
      </w:r>
    </w:p>
    <w:p>
      <w:r>
        <w:t>1.2Gemäss Art. 410 Abs. 1 StPO kann eine Revision verlangen, wer durch ein rechtskräftiges Urteil, einen Strafbefehl, einen nachträglichen richterlichen Entscheid oder einen Entscheid im selbständigen Massnahmeverfahren beschwert ist. Revisionsgesuche sind schriftlich und begründet einzureichen, wobei die angerufenen Revisionsgründe zu bezeichnen und zu belegen sind (Art. 411 Abs. 1 StPO). Ein Revisionsgesuch hat insofern relativ strengen Anforderungen an die Begründung zu genügen. Der Gesuchsteller hat im Einzelnen darzutun, inwiefern Tatsachen und Beweismittel neu und erheblich sind. Das Berufungsgericht ist nicht gehalten, selbst nach Revisionsgründen zu suchen oder ein ungenügendes Revisionsgesuch zu ergänzen (Heer, a.a.O., Art. 411 N 7 sowie Art. 412 N 1 f. und 7; AGE DG.2017.8 vom 1. September 2017 E. 1.2). Auf bloss appellatorische Kritik ist nicht einzutreten.</w:t>
      </w:r>
    </w:p>
    <w:p>
      <w:r>
        <w:t>1.3Mit Urteil SB.2015.74 vom 15. März 2017 verurteilte das Appellationsgericht den Gesuchsteller im Berufungsverfahren in Bestätigung des erstinstanzlichen Urteils des Strafdreiergerichts vom 16. April 2015 u.a. wegen versuchter schwerer Körperverletzung, mehrfacher einfacher Körperverletzung, Drohung und falscher Anschuldigung (neben in Rechtskraft erwachsener Schuldsprüchen wegen Drohung, versuchter Nötigung, mehrfachen Hausfriedensbruchs, mehrfacher Gewalt und Drohung gegen Behörden und Beamte, Ungehorsams gegen amtliche Verfügungen und mehrfache Übertretung gegen das BetmG). Aus den verschiedenen Eingaben des Gesuchstellers lässt sich in Bezug auf dieses Urteil auch nicht im Ansatz ableiten, ob und inwiefern einer der in Art. 410 StPO genannten Revisionsgründe und -ziele erfüllt sein könnte. Vielmehr gehen die zahlreichen Vorbringen, welche sich bisweilen auf andere Verfahren beziehen, trotz unbestrittener Möglichkeit einer Verbesserung des Revisionsgesuchs vom 17. November 2017 an der Sache vorbei oder erschöpfen sich in appellatorischer Kritik. Der Gesuchsteller verletzt damit offensichtlich die im Revisionsverfahren geltende strenge Rüge- und Begründungsobliegenheit.</w:t>
      </w:r>
    </w:p>
    <w:p>
      <w:r>
        <w:rPr>
          <w:b/>
        </w:rPr>
        <w:t>E. 2</w:t>
      </w:r>
    </w:p>
    <w:p>
      <w:r>
        <w:t>Nach dem Gesagten ist auf das Revisionsgesuch nicht einzutreten. Bei diesem Ausgang des Verfahrens hat der Gesuchsteller dessen Kosten zu tragen, wobei eine Gebühr in Höhe von 400.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