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BO.2021.1 vom 19. Juli 2021</w:t>
      </w:r>
    </w:p>
    <w:p>
      <w:r>
        <w:t>BS Appellationsgericht, 2021-07-19, DE</w:t>
      </w:r>
    </w:p>
    <w:p>
      <w:r>
        <w:rPr>
          <w:b/>
        </w:rPr>
        <w:t xml:space="preserve">Quelle: </w:t>
      </w:r>
      <w:r>
        <w:t>https://mcp.opencaselaw.ch/entscheid/bs_appellationsgericht_BO.2021.1</w:t>
      </w:r>
    </w:p>
    <w:p>
      <w:r>
        <w:t>FR: BS_APPELLATIONSGERICHT BO.2021.1 du 19 juillet 2021</w:t>
      </w:r>
    </w:p>
    <w:p>
      <w:r>
        <w:t>IT: BS_APPELLATIONSGERICHT BO.2021.1 del 19 luglio 2021</w:t>
      </w:r>
    </w:p>
    <w:p>
      <w:pPr>
        <w:pStyle w:val="Heading2"/>
      </w:pPr>
      <w:r>
        <w:t>Erwägungen</w:t>
      </w:r>
    </w:p>
    <w:p>
      <w:r>
        <w:rPr>
          <w:b/>
        </w:rPr>
        <w:t>E. 1</w:t>
      </w:r>
    </w:p>
    <w:p>
      <w:r>
        <w:t>1.1Laut § 18 des Vertrags zwischen den Kantonen Basel-Stadt und Zug zur Errichtung und zum Betrieb einer gemeinsamen Strafanstalt im Bostadel (SG 258.500) ist die Rekurskommission zum Entscheid über angefochtene Verfügungen der PAKO im Sinne von Art. 12 lit. g (Rekurse gegen Verfügungen des Direktors) zuständig. Das anzuwendende Verfahren wurde von der Rekurskommission in Anwendung von § 19 des Vertrags in einem Reglement vom 7. März 1978 festgelegt. Nach § 11 dieses Reglements finden die Vorschriften für das Verwaltungsgericht und für die Verwaltungsgerichtsbeschwerde desjenigen Kantons, der den Vorsitz stellt, sinngemäss Anwendung, soweit das Reglement keine Vorschriften enthält. Da der Kanton Basel-Stadt zwischen 2020 und 2025 die Präsidentin der Rekurskommission stellt, ist das Gesetz über die Verfassungs- und Verwaltungsrechtspflege des Kantons Basel-Stadt (VRPG, SG 270.100) ergänzend heranzuziehen.</w:t>
      </w:r>
    </w:p>
    <w:p>
      <w:r>
        <w:t>1.2Nach § 13 Abs. 1 VRPG ist zum Rekurs berechtigt, wer durch die angefochtene Verfügung berührt ist und ein schutzwürdiges Interesse an ihrer Aufhebung oder Änderung hat. Der Rekurrent ist als Adressat des angefochtenen Entscheids von diesem zwar berührt und hat ein Interesse an dessen Aufhebung. Um schutzwürdig zu sein, muss das Interesse des Rekurrenten aber in aller Regel aktuell sein. Das ist dann der Fall, wenn die Gutheissung des Rekurses dem Rekurrenten einen praktischen Nutzen einträgt. Damit soll vermieden werden, dass das Rechtsmittel zur Beurteilung einer rein abstrakten Rechtsfrage ergriffen wird. Auf das Erfordernis des aktuellen Interesses wird indessen ausnahmsweise dann verzichtet,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Neues Handbuch des Staats- und Verwaltungsrechts des Kantons Basel-Stadt, Basel 2008, S. 477 ff., 500;Wullschleger/Schröder, Praktische Fragen des Verwaltungsprozesses im Kanton Basel-Stadt, BJM 2005 S. 277 ff., 292 f.; BGE 139 I 206 E. 1.1 S. 208, 138 II 42 E. 1.3 S. 45, 126 I 250 E. 1b S. 252; VGE VD.2020.245 vom 18. Februar 2021 E. 1.2, VD.2019.101 vom 3. Februar 2020 E. 1.2.2).</w:t>
      </w:r>
    </w:p>
    <w:p>
      <w:r>
        <w:rPr>
          <w:b/>
        </w:rPr>
        <w:t>E. 1.3</w:t>
      </w:r>
    </w:p>
    <w:p>
      <w:r>
        <w:t>1.3.1Der Rekurrent wurde per 25. Februar 2021 in das Untersuchungsgefängnis Solothurn versetzt. Demnach wurde das Sonderstatusverhältnis zur öffentlichen-rechtlichen Anstalt «JVA Bostadel» aufgelöst und kann ihm sein persönlicher Computer zufolge Anstaltswechsels dort nicht mehr ausgehändigt werden. Damit fehlt es dem Rekurrenten an einem aktuellen Rechtsschutzinteresse.</w:t>
      </w:r>
    </w:p>
    <w:p>
      <w:r>
        <w:t>1.3.2Zudem liegt auch keine Ausnahme im Sinne der vorzitierten Rechtsprechung vor: Es ist zwar nicht gänzlich ausgeschlossen, dass A____ irgendwann wieder in die JVA Bostadel (zurück)versetzt wird, zumal der offenbar für den Rekurrenten zuständige Kanton Solothurn dem Strafvollzugskonkordat Nordwest- und Innerschweiz angehört. Indes ist nicht ersichtlich, weshalb die Überprüfung des gerügten Eingriffs  sollte die Aushändigung des persönlichen Computers erneut verweigert werden  auf dem Rekursweg nicht rechtzeitig möglich sein sollte. Kommt dazu, dass [...] gemäss den Angaben des Rekurrenten im Schreiben vom 28. Mai 2020 (act. 7 S. 2) spätestens im September 2021 stattgefunden haben sollte und sich die Frage, ob der persönliche Computer zwecks [...] ausgehändigt werden soll, deshalb bei einer allfälligen zukünftigen Inhaftierung in der JVA Bostadel ab September 2021 ohnehin nicht mehr stellen würde. Darüber hinaus handelt es sich bei der zur Diskussion stehenden Frage angesichts der in der Hausordnung bzw. dem Merkblatt betreffend «Bewilligung zum Betrieb eines Notebooks» (den Mitgliedern der Rekurskommission und dem Rekurrenten aus RKE BO.2020.2 vom 19. April 2021 bekannt) detailliert geregelten Angelegenheit sowie des in der Antwort auf die Aufsichtsbeschwerde und auch des angefochtenen Entscheids zutreffend ausgeführten, hohen Missbrauchspotentials der Benutzung des persönlichen Computers in einer Haftanstalt auch nicht um eine Frage von grundsätzlicher Bedeutung, zumal das Recht auf Aus- und Weiterbildung (Art. 82 des Strafgesetzbuches [StGB, SR 311.0]) mit der Nichtaushändigung des persönlichen Computers nicht vereitelt wird.</w:t>
      </w:r>
    </w:p>
    <w:p>
      <w:r>
        <w:rPr>
          <w:b/>
        </w:rPr>
        <w:t>E. 2</w:t>
      </w:r>
    </w:p>
    <w:p>
      <w:r>
        <w:t>Da das schutzwürdige Interesse bereits bei Rekurserhebung am 19. März 2021 gefehlt hat, ist auf den Rekurs nicht einzutreten (BGE 139 I 206 E. 1.1 S. 208, 137 I 23 E. 1.3 S. 24 f.). Gemäss § 10 des Reglements ist das Verfahren vor der Rekurskommission unentgeltlich. Der Antrag um unentgeltliche Rechtspflege und Prozessführend ist damit obsolet, womit sich weitergehende Ausführungen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