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BEZ.2025.27 vom 12. Mai 2025</w:t>
      </w:r>
    </w:p>
    <w:p>
      <w:r>
        <w:t>BS Appellationsgericht, 2025-05-12, DE</w:t>
      </w:r>
    </w:p>
    <w:p>
      <w:r>
        <w:rPr>
          <w:b/>
        </w:rPr>
        <w:t xml:space="preserve">Quelle: </w:t>
      </w:r>
      <w:r>
        <w:t>https://mcp.opencaselaw.ch/entscheid/bs_appellationsgericht_BEZ.2025.27</w:t>
      </w:r>
    </w:p>
    <w:p>
      <w:r>
        <w:t>FR: BS_APPELLATIONSGERICHT BEZ.2025.27 du 12 mai 2025</w:t>
      </w:r>
    </w:p>
    <w:p>
      <w:r>
        <w:t>IT: BS_APPELLATIONSGERICHT BEZ.2025.27 del 12 maggio 2025</w:t>
      </w:r>
    </w:p>
    <w:p>
      <w:pPr>
        <w:pStyle w:val="Heading2"/>
      </w:pPr>
      <w:r>
        <w:t>Erwägungen</w:t>
      </w:r>
    </w:p>
    <w:p>
      <w:r>
        <w:rPr>
          <w:b/>
        </w:rPr>
        <w:t>E. 1</w:t>
      </w:r>
    </w:p>
    <w:p>
      <w:r>
        <w:t>Ziffer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Einhaltung dieser beiden Voraussetzungen muss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w:t>
      </w:r>
    </w:p>
    <w:p>
      <w:r>
        <w:t>2.2Im vorliegenden Fall hat der Schuldner eine Quittung des Betreibungsamts Basel-Stadt vom 22. Mai 2025 eingereicht, wonach er die Summe von CHF 1329.55 bezahlt habe und diese Summe sich aus den beiden Konkursforderungen, den Betreibungskosten und den Gebühren des Konkursamts von CHF 700. zusammensetze. Damit hat der Schuldner bewiesen, dass er die Schuld (einschliesslich Zinsen und Kosten) nach der Eröffnung des Konkurses getilgt hat. Damit ist die erste Voraussetzung für die Aufhebung der Konkurseröffnung  Beweis der Zahlung der Konkursschuld  erfüllt. In der folgenden Erwägung wird geprüft, ob auch die zweite Voraussetzung für die Aufhebung der Konkurseröffnung  das Glaubhaftmachen der Zahlungsfähigkeit  erfüllt ist.</w:t>
      </w:r>
    </w:p>
    <w:p>
      <w:r>
        <w:rPr>
          <w:b/>
        </w:rPr>
        <w:t>E. 2.3</w:t>
      </w:r>
    </w:p>
    <w:p>
      <w:r>
        <w:t>2.3.1Zahlungsfähigkeit bedeutet, dass der Schuldner über ausreichend liquide Mittel verfügt, um alle fälligen Schulden zu begleichen. Dabei sind nur sofort und konkret verfügbare, nicht aber zukünftige, zu erwartende oder mögliche Mittel zu berücksichtigen.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glaubhaft machen, dass er unter Berücksichtigung der fälligen und der noch nicht fälligen Forderungen in absehbarer Zeit imstande ist, seinen Zahlungsverpflichtungen nachzukommen (zum Ganzen AGE BEZ.2024.79 vom 2. Januar 2025 E. 4.1 mit Nachweisen).Die im Betreibungsregisterauszug als offen verzeichneten Forderungen sind nach der Praxis des Appellationsgerichts und des Obergerichts des Kantons Zürich bei der Beurteilung der Zahlungsfähigkeit des Schuldners grundsätzlich nur dann nicht als fällige Forderungen zu berücksichtigen, wenn der Schuldner glaubhaft macht, dass sie nicht bestehen oder nicht fällig sind (AGE BEZ.2023.67 vom 17. Oktober 2023 E. 2.3.1).</w:t>
      </w:r>
    </w:p>
    <w:p>
      <w:r>
        <w:t>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(zum Ganzen AGE BEZ.2024.79 vom 2. Januar 2025. 4.1 mit Nachweisen).</w:t>
      </w:r>
    </w:p>
    <w:p>
      <w:r>
        <w:t>2.3.2Im vorliegenden Fall hat der Schuldner seiner Beschwerde einen Betreibungsregisterauszug vom 22. Mai 2025 beigelegt. Dem Betreibungsregisterauszug sind neben 18 bezahlten Forderungen folgende Betreibungen mit folgenden Forderungssummen zu entnehmen:</w:t>
      </w:r>
    </w:p>
    <w:p>
      <w:r>
        <w:t>-          5 Betreibungen                                                                             CHF 13616.60</w:t>
      </w:r>
    </w:p>
    <w:p>
      <w:r>
        <w:t>-           9 Betreibungen mit Konkursandrohung                                     CHF 15721.85</w:t>
      </w:r>
    </w:p>
    <w:p>
      <w:r>
        <w:t>-           3 Betreibungen mit Konkurseröffnung                                       CHF 17505.80</w:t>
      </w:r>
    </w:p>
    <w:p>
      <w:r>
        <w:t>-           10 Betreibungen mit Pfändung                                                    CHF 14523.05</w:t>
      </w:r>
    </w:p>
    <w:p>
      <w:r>
        <w:t>-           21 Betreibungen mit VerlustscheinCHF 33147.30</w:t>
      </w:r>
    </w:p>
    <w:p>
      <w:r>
        <w:t>-           TotalCHF 94514.60</w:t>
      </w:r>
    </w:p>
    <w:p>
      <w:r>
        <w:t>Gemäss den Akten des Konkursamts verfügt der Schuldner über ein Kontokorrentkonto bei der [], das am 15. April 2025 einen Saldo von CHF 6.27 aufwies. Zudem verfügt er über ein Privatkonto bei der [], das am 30. April 2025 einen Saldo von CHF 2. aufwies. Mit diesen flüssigen Mitteln von insgesamt CHF 8.27 ist der Schuldner bei Weitem nicht in der Lage, die sich allein aus dem Betreibungsregister ergebenden offenen Forderungen von CHF 94515.60 zu decken. Damit hat der Schuldner seine Zahlungsfähigkeit  die zweite Voraussetzung für die Aufhebung der Konkurseröffnung  klarerweise nicht glaubhaft gemacht.</w:t>
      </w:r>
    </w:p>
    <w:p>
      <w:r>
        <w:rPr>
          <w:b/>
        </w:rPr>
        <w:t>E. 3</w:t>
      </w:r>
    </w:p>
    <w:p>
      <w:r>
        <w:t>Aufgrund dieser Erwägungen ist die Beschwerde abzuweisen und die Konkurseröffnung zu bestätigen. Bei diesem Ausgang des Verfahrens trägt der Schuldner die Gerichtskosten des Beschwerdeverfahrens von CHF 600.(Art.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