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BEZ.2024.68 vom 1. Dezember 2023</w:t>
      </w:r>
    </w:p>
    <w:p>
      <w:r>
        <w:t>BS Appellationsgericht, 2023-12-01, DE</w:t>
      </w:r>
    </w:p>
    <w:p>
      <w:r>
        <w:rPr>
          <w:b/>
        </w:rPr>
        <w:t xml:space="preserve">Quelle: </w:t>
      </w:r>
      <w:r>
        <w:t>https://mcp.opencaselaw.ch/entscheid/bs_appellationsgericht_BEZ.2024.68</w:t>
      </w:r>
    </w:p>
    <w:p>
      <w:r>
        <w:t>FR: BS_APPELLATIONSGERICHT BEZ.2024.68 du 1 décembre 2023</w:t>
      </w:r>
    </w:p>
    <w:p>
      <w:r>
        <w:t>IT: BS_APPELLATIONSGERICHT BEZ.2024.68 del 1 dicembre 2023</w:t>
      </w:r>
    </w:p>
    <w:p>
      <w:pPr>
        <w:pStyle w:val="Heading2"/>
      </w:pPr>
      <w:r>
        <w:t>Erwägungen</w:t>
      </w:r>
    </w:p>
    <w:p>
      <w:r>
        <w:rPr>
          <w:b/>
        </w:rPr>
        <w:t>E. 12</w:t>
      </w:r>
    </w:p>
    <w:p>
      <w:r>
        <w:t>Januar 2024 E. 6.3.3 und ZB.2017.29 vom 14. September 2017 E. 7.2). Gemäss UID-Register ist die Beschwerdegegnerin mehrwertsteuerpflichtig. Das vorliegende Verfahren betrifft ihre unternehmerische Tätigkeit. Die Beschwerdegegnerin beantragt zwar die Zusprechung einer Parteientschädigung zuzüglich Mehrwertsteuer, legt aber nicht ansatzweise dar, weshalb sie durch die Mehrwertsteuer belastet sein sollte. Daher ist ihr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