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BEZ.2024.5 vom 2. Februar 2024</w:t>
      </w:r>
    </w:p>
    <w:p>
      <w:r>
        <w:t>BS Appellationsgericht, 2024-02-02, DE</w:t>
      </w:r>
    </w:p>
    <w:p>
      <w:r>
        <w:rPr>
          <w:b/>
        </w:rPr>
        <w:t xml:space="preserve">Quelle: </w:t>
      </w:r>
      <w:r>
        <w:t>https://mcp.opencaselaw.ch/entscheid/bs_appellationsgericht_BEZ.2024.5</w:t>
      </w:r>
    </w:p>
    <w:p>
      <w:r>
        <w:t>FR: BS_APPELLATIONSGERICHT BEZ.2024.5 du 2 février 2024</w:t>
      </w:r>
    </w:p>
    <w:p>
      <w:r>
        <w:t>IT: BS_APPELLATIONSGERICHT BEZ.2024.5 del 2 febbraio 2024</w:t>
      </w:r>
    </w:p>
    <w:p>
      <w:pPr>
        <w:pStyle w:val="Heading2"/>
      </w:pPr>
      <w:r>
        <w:t>Erwägungen</w:t>
      </w:r>
    </w:p>
    <w:p>
      <w:r>
        <w:rPr>
          <w:b/>
        </w:rPr>
        <w:t>E. 3</w:t>
      </w:r>
    </w:p>
    <w:p>
      <w:r>
        <w:t>Aus den vorstehenden Erwägungen folgt, dass die Beschwerde gutzuheissen und die Konkurseröffnung aufzuheben ist. Die vollständige Tilgung der Schuld erfolgte erst nach der Eröffnung des Konkurses durch das Zivilgericht. Mit ihrer Zahlungssäumnis verursachte die Schuldnerin unnötigerweise das erstinstanzliche Verfahren und das Beschwerdeverfahren. Daher hat sie gemäss Art. 108 ZPO trotzGutheissungihrer Beschwerde die Gerichtskosten zu tragen (vgl. statt vieler AGE BEZ.2020.53 vom 11. November 2020 E. 3). In Anwendung von Art. 52 lit. b und Art. 61 Abs. 1 der Gebührenverordnung zum Bundesgesetz über Schuldbetreibung und Konkurs (GebVSchKG, SR 281.35) werden die Gerichtskosten des erstinstanzlichen Verfahrens auf CHF 350. und die Gerichtskosten des Beschwerdeverfahrens auf CHF 600.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