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BEZ.2024.10 vom 22. Januar 2024</w:t>
      </w:r>
    </w:p>
    <w:p>
      <w:r>
        <w:t>BS Appellationsgericht, 2024-01-22, DE</w:t>
      </w:r>
    </w:p>
    <w:p>
      <w:r>
        <w:rPr>
          <w:b/>
        </w:rPr>
        <w:t xml:space="preserve">Quelle: </w:t>
      </w:r>
      <w:r>
        <w:t>https://mcp.opencaselaw.ch/entscheid/bs_appellationsgericht_BEZ.2024.10</w:t>
      </w:r>
    </w:p>
    <w:p>
      <w:r>
        <w:t>FR: BS_APPELLATIONSGERICHT BEZ.2024.10 du 22 janvier 2024</w:t>
      </w:r>
    </w:p>
    <w:p>
      <w:r>
        <w:t>IT: BS_APPELLATIONSGERICHT BEZ.2024.10 del 22 gennaio 2024</w:t>
      </w:r>
    </w:p>
    <w:p>
      <w:pPr>
        <w:pStyle w:val="Heading2"/>
      </w:pPr>
      <w:r>
        <w:t>Erwägungen</w:t>
      </w:r>
    </w:p>
    <w:p>
      <w:r>
        <w:rPr>
          <w:b/>
        </w:rPr>
        <w:t>E. 2</w:t>
      </w:r>
    </w:p>
    <w:p>
      <w:r>
        <w:t>2.1Gemäss Art. 174 Abs. 2 SchKG kann die Rechtsmittelinstanz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2022 E.</w:t>
      </w:r>
    </w:p>
    <w:p>
      <w:r>
        <w:rPr>
          <w:b/>
        </w:rPr>
        <w:t>E. 2.1</w:t>
      </w:r>
    </w:p>
    <w:p>
      <w:r>
        <w:t>und BEZ.2020.53 vom 11. November 2020 E. 2.1 mit Nachweisen).</w:t>
      </w:r>
    </w:p>
    <w:p>
      <w:r>
        <w:t>2.2Mit der Quittung und der provisorischen Abrechnung des Betreibungsamts vom 1. Februar 2024, die der Schuldner eingereicht hat, hat er durch Urkunden bewiesen, dass er die Schuld, einschliesslich der Zinsen und Kosten, nach der Eröffnung des Konkurses getilgt hat. Damit ist die erste Voraussetzung der Aufhebung der Konkurseröffnung erfüllt.</w:t>
      </w:r>
    </w:p>
    <w:p>
      <w:r>
        <w:rPr>
          <w:b/>
        </w:rPr>
        <w:t>E. 2.3</w:t>
      </w:r>
    </w:p>
    <w:p>
      <w:r>
        <w:t>mit Nachweisen).</w:t>
      </w:r>
    </w:p>
    <w:p>
      <w:r>
        <w:t>Die im Betreibungsregisterauszug als offen verzeichneten Forderungen sind nach der Praxis des Appellationsgerichts und des Obergerichts des Kantons Zürich bei der Beurteilung der Zahlungsfähigkeit des Schuldners grundsätzlich nur dann nicht als fällige Forderungen zu berücksichtigen, wenn der Schuldner glaubhaft macht, dass sie nicht bestehen oder nicht fällig sind (AGE BEZ.2023.67 vom 17. Oktober 2023 E. 2.3.1 mit Nachweisen).</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(BGer 5A_353/2022 vom 31. August 2022 E. 2.3; AGE BEZ.2022.11 vom 9. Februar 2022 E. 4.1 mit Nachweisen).</w:t>
      </w:r>
    </w:p>
    <w:p>
      <w:r>
        <w:t>2.3.2Im vom Schuldner eingereichten Auszug aus dem Betreibungsregister vom 1. Februar 2024 sind abgesehen von der inzwischen bezahlten Forderung unter den folgenden Betreibungsnummern die folgenden offenen Forderungen der folgenden Gläubigerinnen mit dem folgenden Datum und dem folgenden Status verzeichnet:</w:t>
      </w:r>
    </w:p>
    <w:p>
      <w:r>
        <w:t>[...]:                B____, CHF 293.40, 14. September 2023, Konkursandrohung</w:t>
      </w:r>
    </w:p>
    <w:p>
      <w:r>
        <w:t>[...]:                [...], CHF 894.35, 22. September 2023, Konkursandrohung</w:t>
      </w:r>
    </w:p>
    <w:p>
      <w:r>
        <w:t>[...]:                [...], CHF 280.75, 13. Dezember 2023, Konkurseröffnung</w:t>
      </w:r>
    </w:p>
    <w:p>
      <w:r>
        <w:t>[...]:                B____, CHF 291.45, 27. Dezember 2023, Konkurseröffnung</w:t>
      </w:r>
    </w:p>
    <w:p>
      <w:r>
        <w:rPr>
          <w:b/>
        </w:rPr>
        <w:t>E. 3</w:t>
      </w:r>
    </w:p>
    <w:p>
      <w:r>
        <w:t>Entsprechend dem Ausgang des Verfahrens trägt der Schuldner die Gerichtskosten des Beschwerdeverfahrens von CHF 600. (Art. 106 Abs. 1 ZPO und Art. 61 Abs. 1 in Verbindung mit Art. 52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