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BEZ.2023.80 vom 11. März 2024</w:t>
      </w:r>
    </w:p>
    <w:p>
      <w:r>
        <w:t>BS Appellationsgericht, 2024-03-11, DE</w:t>
      </w:r>
    </w:p>
    <w:p>
      <w:r>
        <w:rPr>
          <w:b/>
        </w:rPr>
        <w:t xml:space="preserve">Quelle: </w:t>
      </w:r>
      <w:r>
        <w:t>https://mcp.opencaselaw.ch/entscheid/bs_appellationsgericht_BEZ.2023.80</w:t>
      </w:r>
    </w:p>
    <w:p>
      <w:r>
        <w:t>FR: BS_APPELLATIONSGERICHT BEZ.2023.80 du 11 mars 2024</w:t>
      </w:r>
    </w:p>
    <w:p>
      <w:r>
        <w:t>IT: BS_APPELLATIONSGERICHT BEZ.2023.80 del 11 marzo 2024</w:t>
      </w:r>
    </w:p>
    <w:p>
      <w:pPr>
        <w:pStyle w:val="Heading2"/>
      </w:pPr>
      <w:r>
        <w:t>Erwägungen</w:t>
      </w:r>
    </w:p>
    <w:p>
      <w:r>
        <w:rPr>
          <w:b/>
        </w:rPr>
        <w:t>E. 1</w:t>
      </w:r>
    </w:p>
    <w:p>
      <w:r>
        <w:t>Die vorliegende Beschwerde richtet sich gegen die Verfügung vom 14. November 2023, mit welcher der Zivilgerichtspräsident das Scheidungsverfahren unter Hinweis auf ein hängiges Strafverfahren gegen den Ehemann einstweilen bis zum Zeitpunkt der Anklageerhebung durch die Staatsanwaltschaft sistiert hat. Dabei handelt es sich um eine prozessleitende Verfügung (BGE 141 III 270 E. 3.3; AGE BEZ.2018.17 vom 22. Mai 2018 E. 1.1). Diese ist gemäss Art. 126 Abs. 2 der Zivilprozessordnung (ZPO, SR 272) mit Beschwerde anfechtbar. Auf die frist- und formgerecht eingereichte Beschwerde (vgl. Art. 321 Abs. 1 und 2 ZPO) ist einzutreten. Zuständig zum Entscheid über die Beschwerde ist ein Dreiergericht des Appellationsgerichts (§ 92 Abs. 1 Ziff. 6 des Gerichtsorganisationsgesetzes [GOG, SG 154.100]). Mit der Beschwerde können die unrichtige Rechtsanwendung und die offensichtlich unrichtige Feststellung des Sachverhalts geltend gemacht werden (Art. 320 ZPO).</w:t>
      </w:r>
    </w:p>
    <w:p>
      <w:r>
        <w:rPr>
          <w:b/>
        </w:rPr>
        <w:t>E. 2</w:t>
      </w:r>
    </w:p>
    <w:p>
      <w:r>
        <w:t>2.1Der Ehemann macht geltend, der Zivilgerichtspräsident habe die Begründungspflicht verletzt, indem er die angefochtene Verfügung nicht begründet habe (vgl. Beschwerde Rz. 3.5 und 5).</w:t>
      </w:r>
    </w:p>
    <w:p>
      <w:r>
        <w:t>2.2Die Entscheidung, das Verfahren zu sistieren, ist eine prozessleitende Verfügung (vgl. oben E. 1). Nach einem Teil der Lehre müssen prozessleitende Verfügungen nicht begründet werden (Freiburghaus/Afheldt, in: Sutter-Somm et al. [Hrsg.], Kommentar zur ZPO, 3. Auflage, Zürich 2016, Art. 324 N 4;Gehri, in: Gehri et al. [Hrsg.], ZPO Kommentar, 2. Auflage, Zürich 2015, Art. 324 N 1). Gemäss der Botschaft ist zumindest keineschriftlicheBegründung erforderlich (Botschaft zur Schweizerischen Zivilprozessordnung vom 28. Juni 2006, in: BBl 2006 S. 7221, 7378). Gemäss einem anderen Teil der Lehre müssen zumindest gewisse prozessleitende Verfügungen begründet werden (vgl.Killias, in: Berner Kommentar, 2012, Art. 238 ZPO N 35 und Art. 239 ZPO N 2;Seiler, Die Anfechtung von prozessleitenden Verfügungen und weitere Aspekte der Beschwerde nach Art. 319 ff. ZPO, in: BJM 2018 S. 65, 86;Staehelin, in: Sutter-Somm et al. [Hrsg.], Kommentar zur ZPO, a.a.O., Art. 239 N 13;Steck/Brunner, in: Basler Kommentar, 3. Auflage 2017, Art. 239 ZPO N 11;Wohlfart, Begründung und Rechtsmittelbelehrung als Erfordernisse prozessleitender Verfügungen nach der Schweizerischen Zivilprozessordnung, in: Fankhauser et al. [Hrsg.], Das Zivilrecht und seine Durchsetzung, Zürich 2016, S. 749, 758 f. und 763 f.). Dabei genüge aber eine mündliche oder kursorische schriftliche Begründung (Staehelin, a.a.O., Art. 239 N 13; vgl.Killias, a.a.O., Art. 239 ZPO N 2). Nach bundesgerichtlicher Rechtsprechung ergibt sich aus dem Anspruch auf rechtliches Gehör (Art. 29 Abs. 2 der Bundesverfassung der Schweizerischen Eidgenossenschaft [BV, SR 101]; Art. 53 Abs. 1 ZPO) eine Verpflichtung zur Begründung prozessleitender Verfügungen, durch die ein nicht leicht wiedergutzumachender Nachteil droht (BGer 4A_128/2017 vom 12. Mai 2017 E. 5.3 f.), bzw. grundlegender prozessleitender Verfügungen, welche die Gefahr einer Beschwer der Partei mit sich bringen (BGer 5A_81/2014 vom 20. März 2014 E. 2.1). Da das Bundesgericht die Begründungspflicht unter anderem damit begründet, dass solche prozessleitende Verfügungen mit Beschwerde anfechtbar seien und den Parteien ohne Begründung eine begründete Anfechtung nicht möglich sei (BGer 4A_128/2017 vom 12. Mai 2017 E. 5.4), muss sie auch für prozessleitende Verfügungen gelten, die kraft ausdrücklicher Gesetzesbestimmung beschwerdefähig sind (AGE BEZ.2018.17 vom 22. Mai 2018 E. 1.4.2; für das Erfordernis einer zumindest mündlichen oder kursorischen schriftlichen Begründung einer kraft ausdrücklicher gesetzlicher Bestimmung beschwerdefähigen Verfügung auch Kantonsgericht BL 410 16 431 vom 31. Januar 2017 E. 2.2-2.4; für einen grundsätzlichen Anspruch auf Begründung prozessleitender Verfügungen gestützt auf Art. 29 Abs. 2 BV und Art. 53 Abs. 1 ZPOWohlfart, a.a.O., S. 757 ff. und 763 f.). Die Begründung muss so abgefasst sein, dass sich die Betroffenen über die Tragweite des Entscheids Rechenschaft geben und ihn in voller Kenntnis der Sache an die höhere Instanz weiterziehen können. In diesem Sinn müssen wenigstens kurz die Überlegungen genannt werden, von denen sich das Gericht hat leiten lassen und auf die sich sein Entscheid stützt (BGE 134 I 83 E. 4.1 S. 88; BGer 4A_128/2017 vom 12. Mai 2017 E. 5.3, 5A_81/2014 vom 20. März 2014 E. 2.1; AGE BEZ.2018.17 vom 22. Mai 2018 E. 1.4.2). Diesen aus dem Anspruch auf rechtliches Gehör abgeleiteten Anforderungen genügt zumindest in gewissen Fällen auch eine mündliche oder kursorische schriftliche Begründung (AGE BEZ.2018.17 vom 22. Mai 2018 E. 1.4.2; vgl. Kantonsgericht BL 410 16 431 vom 31. Januar 2017 E. 2.3). Die Anforderungen an die Begründung einer prozessleitenden Verfügung sind gegenüber denjenigen an die Begründung eines Endentscheids jedenfalls deutlich herabgesetzt (BGer 5A_81/2014 vom 20. März 2014 E. 2.1; AGE BEZ.2018.17 vom 22. Mai 2018 E. 1.4.2;Wohlfart, a.a.O., S. 759).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