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BEZ.2023.72 vom 19. Januar 2024</w:t>
      </w:r>
    </w:p>
    <w:p>
      <w:r>
        <w:t>BS Appellationsgericht, 2024-01-19, DE</w:t>
      </w:r>
    </w:p>
    <w:p>
      <w:r>
        <w:rPr>
          <w:b/>
        </w:rPr>
        <w:t xml:space="preserve">Quelle: </w:t>
      </w:r>
      <w:r>
        <w:t>https://mcp.opencaselaw.ch/entscheid/bs_appellationsgericht_BEZ.2023.72</w:t>
      </w:r>
    </w:p>
    <w:p>
      <w:r>
        <w:t>FR: BS_APPELLATIONSGERICHT BEZ.2023.72 du 19 janvier 2024</w:t>
      </w:r>
    </w:p>
    <w:p>
      <w:r>
        <w:t>IT: BS_APPELLATIONSGERICHT BEZ.2023.72 del 19 gennaio 2024</w:t>
      </w:r>
    </w:p>
    <w:p>
      <w:pPr>
        <w:pStyle w:val="Heading2"/>
      </w:pPr>
      <w:r>
        <w:t>Volltext</w:t>
      </w:r>
    </w:p>
    <w:p>
      <w:r>
        <w:t>Appellationsgericht</w:t>
      </w:r>
    </w:p>
    <w:p>
      <w:r>
        <w:t>des Kantons Basel-Stadt</w:t>
      </w:r>
    </w:p>
    <w:p>
      <w:r>
        <w:t>Dreiergericht</w:t>
      </w:r>
    </w:p>
    <w:p>
      <w:r>
        <w:t>BEZ.2023.72</w:t>
      </w:r>
    </w:p>
    <w:p>
      <w:r>
        <w:t>ENTSCHEID</w:t>
      </w:r>
    </w:p>
    <w:p>
      <w:r>
        <w:t>vom19. Januar 2024</w:t>
      </w:r>
    </w:p>
    <w:p>
      <w:r>
        <w:t>Mitwirkende</w:t>
      </w:r>
    </w:p>
    <w:p>
      <w:r>
        <w:t>Dr. Stephan Wullschleger, lic. iur. André Equey, MLaw Manuel Kreis</w:t>
      </w:r>
    </w:p>
    <w:p>
      <w:r>
        <w:t>und Gerichtsschreiberin MLaw Melissa Buser</w:t>
      </w:r>
    </w:p>
    <w:p>
      <w:r>
        <w:t>Parteien</w:t>
      </w:r>
    </w:p>
    <w:p>
      <w:r>
        <w:t>A____Beschwerdeführer</w:t>
      </w:r>
    </w:p>
    <w:p>
      <w:r>
        <w:t>[...] Ehemann</w:t>
      </w:r>
    </w:p>
    <w:p>
      <w:r>
        <w:t>gegen</w:t>
      </w:r>
    </w:p>
    <w:p>
      <w:r>
        <w:t>B____Beschwerdegegnerin</w:t>
      </w:r>
    </w:p>
    <w:p>
      <w:r>
        <w:t>[...] Ehefrau</w:t>
      </w:r>
    </w:p>
    <w:p>
      <w:r>
        <w:t>C____, Advokat Beschwerdegegner</w:t>
      </w:r>
    </w:p>
    <w:p>
      <w:r>
        <w:t>[...]</w:t>
      </w:r>
    </w:p>
    <w:p>
      <w:r>
        <w:t>Gegenstand</w:t>
      </w:r>
    </w:p>
    <w:p>
      <w:r>
        <w:t>Beschwerdegegen einen Entscheid der Schlichtungsbehörde</w:t>
      </w:r>
    </w:p>
    <w:p>
      <w:r>
        <w:t>vom [...] Oktober 2023</w:t>
      </w:r>
    </w:p>
    <w:p>
      <w:r>
        <w:t>betreffend Ausstandsbegehren</w:t>
      </w:r>
    </w:p>
    <w:p>
      <w:r>
        <w:t>Sachverhalt</w:t>
      </w:r>
    </w:p>
    <w:p>
      <w:r>
        <w:t>Erwägungen</w:t>
      </w:r>
    </w:p>
    <w:p>
      <w:r>
        <w:t>Demgemäss erkennt das Appellationsgericht (Dreiergericht):</w:t>
      </w:r>
    </w:p>
    <w:p>
      <w:r>
        <w:t>://:        Die Beschwerde gegen den Entscheid der Schlichtungsbehörde des Zivilgerichts vom [...] Oktober 2023 ([...]) wird abgewiesen.</w:t>
      </w:r>
    </w:p>
    <w:p>
      <w:r>
        <w:t>Der Beschwerdeführer trägt die Gerichtskosten des Beschwerdeverfahrens von CHF 600..</w:t>
      </w:r>
    </w:p>
    <w:p>
      <w:r>
        <w:t>Mitteilung an:</w:t>
      </w:r>
    </w:p>
    <w:p>
      <w:r>
        <w:t>APPELLATIONSGERICHT BASEL-STADT</w:t>
      </w:r>
    </w:p>
    <w:p>
      <w:r>
        <w:t>Die Gerichtsschreiberin</w:t>
      </w:r>
    </w:p>
    <w:p>
      <w:r>
        <w:t>MLaw Melissa Buser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