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BEZ.2023.68 vom 28. September 2023</w:t>
      </w:r>
    </w:p>
    <w:p>
      <w:r>
        <w:t>BS Appellationsgericht, 2023-09-28, DE</w:t>
      </w:r>
    </w:p>
    <w:p>
      <w:r>
        <w:rPr>
          <w:b/>
        </w:rPr>
        <w:t xml:space="preserve">Quelle: </w:t>
      </w:r>
      <w:r>
        <w:t>https://mcp.opencaselaw.ch/entscheid/bs_appellationsgericht_BEZ.2023.68</w:t>
      </w:r>
    </w:p>
    <w:p>
      <w:r>
        <w:t>FR: BS_APPELLATIONSGERICHT BEZ.2023.68 du 28 septembre 2023</w:t>
      </w:r>
    </w:p>
    <w:p>
      <w:r>
        <w:t>IT: BS_APPELLATIONSGERICHT BEZ.2023.68 del 28 settembre 2023</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 Die Beschwerde vom 2. Oktober 2023 wurde vorliegend innert Frist erhoben.</w:t>
      </w:r>
    </w:p>
    <w:p>
      <w:r>
        <w:t>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(AGE BEZ.2022.78 vom 3. Januar 2023 E. 1.2 und BEZ.2019.5 vom 29. März 2019 E. 1.3, mit weiteren Hinweisen). Es genügt nicht, lediglich die Aufhebung des vorinstanzlichen Entscheids zu beantragen, sondern es muss ein Antrag in der Sache gestellt werden (AGE BEZ.2019.5 vom 29. März 2019 E. 1.3). Die Beschwerde vom 2. Oktober 2023 enthält als Antrag lediglich «Aufhebung Entscheid vom 28. September 2023 auf Art. 320 ZPO». Zudem fehlt es auch an einer genügenden Begründung der Beschwerde. Ob unter diesen Umständen auf die Beschwerde eingetreten werden kann, kann im Ergebnis offengelassen werden, da die Beschwerde aus den nachfolgenden Gründen ohnehin abzuweisen ist.</w:t>
      </w:r>
    </w:p>
    <w:p>
      <w:r>
        <w:rPr>
          <w:b/>
        </w:rPr>
        <w:t>E. 2</w:t>
      </w:r>
    </w:p>
    <w:p>
      <w:r>
        <w:t>Die untere Aufsichtsbehörde hat im angefochtenen Entscheid ausgeführt, dass aus der Beschwerde vom 10. September 2023 kein nach Art. 17 SchKG zulässiger Beschwerdeantrag ersichtlich sei. Zudem gehe aus ihr nicht hervor, worin eine Rechtsverletzung, Unangemessenheit, Rechtsverweigerung oder -verzögerung seitens des Betreibungsamts bestehen solle. Die Beschwerde würde weder die Voraussetzungen eines Antrags noch diejenigen einer Begründung im Beschwerdeverfahren erfüllen. Auf die Beschwerde sei damit nicht einzutreten.</w:t>
      </w:r>
    </w:p>
    <w:p>
      <w:r>
        <w:t>Die Beschwerdeführenden machen in ihrer Beschwerde vom 2. Oktober 2023 geltend, die untere Aufsichtsbehörde habe sich nicht auseinandergesetzt mit «der Begründung zum Antrag 9.09.2023, Rechtsverzögerung 15.10.2023 zum Schaden Zivilstandsamt Basel-Stadt, wiederrechtlich verletze Rechte meiner Mutter und mir (mein Ehemann ab 2010 mitbetroffen) 11.06.2020 (27.07.2020), 4.12.2008 und 29.09.1998 zur Haftung Kanton Basel-Stadt auf Art. 46 abs. 2 ZGB zu Art. 46 abs. 1 ZGB (Art. 78 abs. 1 Verfassung Kanton Basel-Stadt), ausstehender Entscheid Regierungsrat zu [...], wiederrechtlich verursachter Schaden 15.10.2021, Haftung Folgen Kanton Basel-Stadt auf Art. 78 abs. 1 Verfassung Kanton Basel-Stadt, zu dessen zusätzlich der Erhalt Vorbescheid IV-Stelle Basel-Stadt 21.09.2023 die Rechtsverzögerung zum Anspruch der 100% IV-Rente, entgegen Vorbescheid 23.09.2023 nicht ab November 2022, sondern ab Juni 2019 belegt, sowie [...] die Rechtsverzögerung Schaden Zürich Versicherung ab Mai 2015 belegt». Aus diesen Ausführungen geht nicht hervor, dass die Beschwerdeführenden im vorinstanzlichen Verfahren, entgegen den Ausführungen im angefochtenen Entscheid, eine Rechtsverletzung, Unangemessenheit, Rechtsverweigerung oder -verzögerungen durch das Betreibungsamt gerügt haben sollen. Mit diesen Ausführungen vermögen die Beschwerdeführenden somit in keiner Weise aufzuzeigen, dass der angefochtene Nichteintretensentscheid auf einer unrichtigen Rechtsanwendung oder auf einer offensichtlich unrichtigen Feststellung des Sachverhalts beruht. Aus diesem Grund ist die Beschwerde abzuweisen.</w:t>
      </w:r>
    </w:p>
    <w:p>
      <w:r>
        <w:rPr>
          <w:b/>
        </w:rPr>
        <w:t>E. 3</w:t>
      </w:r>
    </w:p>
    <w:p>
      <w:r>
        <w:t>Das Beschwerdeverfahren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