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BEZ.2023.62 vom 30. November 2023</w:t>
      </w:r>
    </w:p>
    <w:p>
      <w:r>
        <w:t>BS Appellationsgericht, 2023-11-30, DE</w:t>
      </w:r>
    </w:p>
    <w:p>
      <w:r>
        <w:rPr>
          <w:b/>
        </w:rPr>
        <w:t xml:space="preserve">Quelle: </w:t>
      </w:r>
      <w:r>
        <w:t>https://mcp.opencaselaw.ch/entscheid/bs_appellationsgericht_BEZ.2023.62</w:t>
      </w:r>
    </w:p>
    <w:p>
      <w:r>
        <w:t>FR: BS_APPELLATIONSGERICHT BEZ.2023.62 du 30 novembre 2023</w:t>
      </w:r>
    </w:p>
    <w:p>
      <w:r>
        <w:t>IT: BS_APPELLATIONSGERICHT BEZ.2023.62 del 30 novembre 2023</w:t>
      </w:r>
    </w:p>
    <w:p>
      <w:pPr>
        <w:pStyle w:val="Heading2"/>
      </w:pPr>
      <w:r>
        <w:t>Erwägungen</w:t>
      </w:r>
    </w:p>
    <w:p>
      <w:r>
        <w:rPr>
          <w:b/>
        </w:rPr>
        <w:t>E. 6</w:t>
      </w:r>
    </w:p>
    <w:p>
      <w:r>
        <w:t>ZPO). Diese Bestimmung bezieht sich aber nur auf das Gesuchsverfahren und nicht auch auf das Beschwerdeverfahren (BGE 140 III 501 E. 4.3.2). Gemäss der Praxis des Appellationsgerichts werden grundsätzlich dann Gerichtskosten erhoben, wenn allein die Frage der Mittellosigkeit zu prüfen ist und verneint wird. Sofern das Verfahren die Beurteilung der Prozesschancen zum Gegenstand hat, wird hingegen auf die Erhebung von Gerichtskosten verzichtet, wenn die Beschwerde gegen die Verweigerung der unentgeltlichen Rechtspflege nicht selber aussichtslos erscheint (AGE BEZ.2020.9 vom 20. April 2020 E. 5.2 mit Hinweisen). Auf Gerichtskosten ist auch dann zu verzichten, wenn das Verfahren die Zulässigkeit eines Wechsels der unentgeltlichen Rechtsvertretung betrifft und die Beschwerde nicht als aussichtslos erscheint. Dies trifft im vorliegenden Fall zu. Für das Beschwerdeverfahren werden deshalb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