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BEZ.2023.42 vom 25. Juli 2023</w:t>
      </w:r>
    </w:p>
    <w:p>
      <w:r>
        <w:t>BS Appellationsgericht, 2023-07-25, DE</w:t>
      </w:r>
    </w:p>
    <w:p>
      <w:r>
        <w:rPr>
          <w:b/>
        </w:rPr>
        <w:t xml:space="preserve">Quelle: </w:t>
      </w:r>
      <w:r>
        <w:t>https://mcp.opencaselaw.ch/entscheid/bs_appellationsgericht_BEZ.2023.42</w:t>
      </w:r>
    </w:p>
    <w:p>
      <w:r>
        <w:t>FR: BS_APPELLATIONSGERICHT BEZ.2023.42 du 25 juillet 2023</w:t>
      </w:r>
    </w:p>
    <w:p>
      <w:r>
        <w:t>IT: BS_APPELLATIONSGERICHT BEZ.2023.42 del 25 luglio 2023</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 Die Beschwerde vom 7. Juni 2023 erfolgte innert Frist. Dies gilt auch für den Nachtrag vom 8. Juni 2023.</w:t>
      </w:r>
    </w:p>
    <w:p>
      <w:r>
        <w:rPr>
          <w:b/>
        </w:rPr>
        <w:t>E. 2</w:t>
      </w:r>
    </w:p>
    <w:p>
      <w:r>
        <w:t>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(AGE BEZ.2022.78 vom 3. Januar 2023 E. 1.2 BEZ.2019.5 vom 29. März 2019 E. 1.3, mit weiteren Hinweisen). Eine Beschränkung darauf, lediglich die Aufhebung des vorinstanzlichen Entscheids zu beantragen, genügt nicht, sondern es muss ein Antrag in der Sache gestellt werden (AGE BEZ.2019.5 vom 29. März 2019 E. 1.3). Die Beschwerde vom 7. Juni 2023 enthält als Antrag lediglich «Aufhebung Entscheid vom 25.05.2023». Zudem fehlt es auch an einer den Begründungsanforderungen genügenden Begründung der Beschwerde.</w:t>
      </w:r>
    </w:p>
    <w:p>
      <w:r>
        <w:t>Die untere Aufsichtsbehörde hat im angefochtenen Entscheid ausgeführt, dass die Beschwerdeführerin in ihrem Schreiben vom 21. April 2023 nicht auf die Verfügung gemäss Betitelung ihrer Beschwerde Bezug nehme. Es sei nicht ersichtlich, was die Beschwerdeführerin genau beanstande und was sie aus ihren Ausführungen ableiten möchte. Soweit sie Handlungen des Zivilstandsamts bemängle, habe sie sich an diese Behörde zu wenden. Die Aufsichtsbehörde über das Betreibungsamt sei dafür nicht zuständig. Daher könne auf die Beschwerde nicht eingetreten werden. Die Beschwerdeführerin macht in ihrer Beschwerde vom 7. Juni 2023 an die obere Aufsichtsbehörde sinngemäss geltend, dass sie bei der unteren Aufsichtsbehörde einen Schadensersatzanspruch aus einer Schädigung durch das Zivilstandsamt Basel-Stadt inklusive Belegeingaben zum Verrechnungsantrag eingereicht habe. Die Beschwerdeführerin übersieht dabei, dass die Aufsichtsbehörde über das Betreibungs- und Konkursamt Einwände gegen den materiellen Bestand der einer Betreibung zugrundeliegenden Forderung nicht prüfen kann. Darauf wurde sie bereits in anderen Verfahren hingewiesen (vgl. etwa AGE BEZ.2023.1 vom 24. Mai 2023 E. 3 und BEZ.2013.73 vom 24. Januar 2014 E. 2). Mit ihren Ausführungen über angebliche Rechtsverletzungen im Zusammenhang mit fehlerhaften Eintragungen im Familienregister respektive Familienbüchlein respektive über eine Rechtsverzögerungsbeschwerde in Bezug auf einen Entscheid des Sozialversicherungsgerichts vermag die Beschwerdeführerin in keiner Weise aufzuzeigen, dass der angefochtene Nichteintretensentscheid auf einer unrichtigen Rechtsanwendung oder auf einer offensichtlich unrichtigen Feststellung des Sachverhalts beruht. Da es somit an einem den Anforderungen entsprechenden Antrag und einer den Anforderungen entsprechenden Begründungen fehlt, kann auf die Beschwerde nicht eingetreten werden.</w:t>
      </w:r>
    </w:p>
    <w:p>
      <w:r>
        <w:rPr>
          <w:b/>
        </w:rPr>
        <w:t>E. 3</w:t>
      </w:r>
    </w:p>
    <w:p>
      <w:r>
        <w:t>Das Beschwerdeverfahren vor der oberen Aufsichtsbehörde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